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D8571" w14:textId="4343913B" w:rsidR="0062370A" w:rsidRPr="002F7CFA" w:rsidRDefault="0062370A" w:rsidP="00C730A3">
      <w:pPr>
        <w:spacing w:line="336" w:lineRule="auto"/>
        <w:jc w:val="both"/>
        <w:rPr>
          <w:rFonts w:ascii="Times New Roman" w:hAnsi="Times New Roman" w:cs="Times New Roman"/>
          <w:b/>
          <w:bCs/>
          <w:sz w:val="27"/>
          <w:szCs w:val="27"/>
        </w:rPr>
      </w:pPr>
      <w:r w:rsidRPr="002F7CFA">
        <w:rPr>
          <w:rFonts w:ascii="Times New Roman" w:hAnsi="Times New Roman" w:cs="Times New Roman"/>
          <w:b/>
          <w:bCs/>
          <w:sz w:val="27"/>
          <w:szCs w:val="27"/>
        </w:rPr>
        <w:t>1. TÍNH CẤP THIẾT</w:t>
      </w:r>
    </w:p>
    <w:p w14:paraId="04548BF2" w14:textId="63EB5589" w:rsidR="00AA2E77" w:rsidRPr="002F7CFA" w:rsidRDefault="00037916" w:rsidP="00C730A3">
      <w:pPr>
        <w:widowControl w:val="0"/>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Trường Đại học Y khoa Phạm Ngọc Thạch được thành lập trên cơ sở Trung tâm Đào tạo Bồi dưỡng Cán bộ Y tế TP. HCM ngày 08-01-2008. Trường chịu sự quản lý trực tiếp của UBND Thành phố Hồ Chí Minh, chịu sự quản lý nghiệp vụ của Bộ Giáo dục và Đào tạo và chịu sự quản lý chuyên môn của Bộ Y tế. Tiền thân của trường là Trung tâm Đào tạo Bồi dưỡng Cán bộ Y tế Thành phố Hồ Chí Minh, vốn có nhiệm vụ như một trường đại học. Nhiệm vụ chính của Trường là đào tạo </w:t>
      </w:r>
      <w:hyperlink r:id="rId7" w:tooltip="Bác sĩ" w:history="1">
        <w:r w:rsidRPr="002F7CFA">
          <w:rPr>
            <w:rStyle w:val="Hyperlink"/>
            <w:rFonts w:ascii="Times New Roman" w:hAnsi="Times New Roman" w:cs="Times New Roman"/>
            <w:iCs/>
            <w:color w:val="auto"/>
            <w:sz w:val="27"/>
            <w:szCs w:val="27"/>
            <w:u w:val="none"/>
          </w:rPr>
          <w:t>Bác sĩ</w:t>
        </w:r>
      </w:hyperlink>
      <w:r w:rsidRPr="002F7CFA">
        <w:rPr>
          <w:rFonts w:ascii="Times New Roman" w:hAnsi="Times New Roman" w:cs="Times New Roman"/>
          <w:iCs/>
          <w:sz w:val="27"/>
          <w:szCs w:val="27"/>
        </w:rPr>
        <w:t> Chuyên khoa và Đa khoa nhằm cung cấp nguồn nhân lực ngành y cho </w:t>
      </w:r>
      <w:hyperlink r:id="rId8" w:tooltip="Thành phố Hồ Chí Minh" w:history="1">
        <w:r w:rsidRPr="002F7CFA">
          <w:rPr>
            <w:rStyle w:val="Hyperlink"/>
            <w:rFonts w:ascii="Times New Roman" w:hAnsi="Times New Roman" w:cs="Times New Roman"/>
            <w:iCs/>
            <w:color w:val="auto"/>
            <w:sz w:val="27"/>
            <w:szCs w:val="27"/>
            <w:u w:val="none"/>
          </w:rPr>
          <w:t>Thành phố Hồ Chí Minh</w:t>
        </w:r>
      </w:hyperlink>
      <w:r w:rsidRPr="002F7CFA">
        <w:rPr>
          <w:rFonts w:ascii="Times New Roman" w:hAnsi="Times New Roman" w:cs="Times New Roman"/>
          <w:iCs/>
          <w:sz w:val="27"/>
          <w:szCs w:val="27"/>
        </w:rPr>
        <w:t>. Đi cùng với sự phát triển của nhà trường còn tồn tại s</w:t>
      </w:r>
      <w:r w:rsidR="001C115C" w:rsidRPr="002F7CFA">
        <w:rPr>
          <w:rFonts w:ascii="Times New Roman" w:hAnsi="Times New Roman" w:cs="Times New Roman"/>
          <w:iCs/>
          <w:sz w:val="27"/>
          <w:szCs w:val="27"/>
        </w:rPr>
        <w:t xml:space="preserve">ự bất tương xứng giữa quy mô đào tạo với nguồn nhân lực và cơ sở vật chất </w:t>
      </w:r>
      <w:r w:rsidRPr="002F7CFA">
        <w:rPr>
          <w:rFonts w:ascii="Times New Roman" w:hAnsi="Times New Roman" w:cs="Times New Roman"/>
          <w:iCs/>
          <w:sz w:val="27"/>
          <w:szCs w:val="27"/>
        </w:rPr>
        <w:t>hiện có</w:t>
      </w:r>
      <w:r w:rsidR="00506120" w:rsidRPr="002F7CFA">
        <w:rPr>
          <w:rFonts w:ascii="Times New Roman" w:hAnsi="Times New Roman" w:cs="Times New Roman"/>
          <w:iCs/>
          <w:sz w:val="27"/>
          <w:szCs w:val="27"/>
        </w:rPr>
        <w:t xml:space="preserve">. Năm học 2015-2016, tổng số lượng sinh viên chính quy của Nhà trường vào khoảng 7670 với số lượng cán bộ viên chức xấp xỉ </w:t>
      </w:r>
      <w:r w:rsidR="00AA2E77" w:rsidRPr="002F7CFA">
        <w:rPr>
          <w:rFonts w:ascii="Times New Roman" w:hAnsi="Times New Roman" w:cs="Times New Roman"/>
          <w:iCs/>
          <w:sz w:val="27"/>
          <w:szCs w:val="27"/>
        </w:rPr>
        <w:t>350</w:t>
      </w:r>
      <w:r w:rsidR="00506120" w:rsidRPr="002F7CFA">
        <w:rPr>
          <w:rFonts w:ascii="Times New Roman" w:hAnsi="Times New Roman" w:cs="Times New Roman"/>
          <w:iCs/>
          <w:sz w:val="27"/>
          <w:szCs w:val="27"/>
        </w:rPr>
        <w:t xml:space="preserve"> và diện tích</w:t>
      </w:r>
      <w:r w:rsidR="00AA2E77" w:rsidRPr="002F7CFA">
        <w:rPr>
          <w:rFonts w:ascii="Times New Roman" w:hAnsi="Times New Roman" w:cs="Times New Roman"/>
          <w:iCs/>
          <w:sz w:val="27"/>
          <w:szCs w:val="27"/>
        </w:rPr>
        <w:t xml:space="preserve"> 2 ha.</w:t>
      </w:r>
    </w:p>
    <w:p w14:paraId="07A24634" w14:textId="620E4DC3" w:rsidR="00506120" w:rsidRPr="002F7CFA" w:rsidRDefault="00037916" w:rsidP="00C730A3">
      <w:pPr>
        <w:widowControl w:val="0"/>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Bản thân là một viên chức quản lý trong thời gian tới, cùng với kiến thức về quản lý nhà nước tiếp thu được qua khóa học, tôi thực hiện tiểu luận này nhằm ứng dụng những điều đã học góp phần vào sự c</w:t>
      </w:r>
      <w:r w:rsidR="00506120" w:rsidRPr="002F7CFA">
        <w:rPr>
          <w:rFonts w:ascii="Times New Roman" w:hAnsi="Times New Roman" w:cs="Times New Roman"/>
          <w:iCs/>
          <w:sz w:val="27"/>
          <w:szCs w:val="27"/>
        </w:rPr>
        <w:t>ân bằng giữa quy mô đào tạo và các nguồn lực</w:t>
      </w:r>
      <w:r w:rsidR="009E5CE9" w:rsidRPr="002F7CFA">
        <w:rPr>
          <w:rFonts w:ascii="Times New Roman" w:hAnsi="Times New Roman" w:cs="Times New Roman"/>
          <w:iCs/>
          <w:sz w:val="27"/>
          <w:szCs w:val="27"/>
        </w:rPr>
        <w:t xml:space="preserve"> phù</w:t>
      </w:r>
      <w:r w:rsidR="00506120"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 xml:space="preserve">hợp với các </w:t>
      </w:r>
      <w:r w:rsidR="009E5CE9" w:rsidRPr="002F7CFA">
        <w:rPr>
          <w:rFonts w:ascii="Times New Roman" w:hAnsi="Times New Roman" w:cs="Times New Roman"/>
          <w:iCs/>
          <w:sz w:val="27"/>
          <w:szCs w:val="27"/>
        </w:rPr>
        <w:t xml:space="preserve">quy chuẩn </w:t>
      </w:r>
      <w:r w:rsidR="001760CB" w:rsidRPr="002F7CFA">
        <w:rPr>
          <w:rFonts w:ascii="Times New Roman" w:hAnsi="Times New Roman" w:cs="Times New Roman"/>
          <w:iCs/>
          <w:sz w:val="27"/>
          <w:szCs w:val="27"/>
        </w:rPr>
        <w:t>hướng đến mục đích cao nhất là</w:t>
      </w:r>
      <w:r w:rsidR="00506120" w:rsidRPr="002F7CFA">
        <w:rPr>
          <w:rFonts w:ascii="Times New Roman" w:hAnsi="Times New Roman" w:cs="Times New Roman"/>
          <w:iCs/>
          <w:sz w:val="27"/>
          <w:szCs w:val="27"/>
        </w:rPr>
        <w:t xml:space="preserve"> đảm bảo </w:t>
      </w:r>
      <w:proofErr w:type="gramStart"/>
      <w:r w:rsidR="00506120" w:rsidRPr="002F7CFA">
        <w:rPr>
          <w:rFonts w:ascii="Times New Roman" w:hAnsi="Times New Roman" w:cs="Times New Roman"/>
          <w:iCs/>
          <w:sz w:val="27"/>
          <w:szCs w:val="27"/>
        </w:rPr>
        <w:t>chất</w:t>
      </w:r>
      <w:proofErr w:type="gramEnd"/>
      <w:r w:rsidR="00506120" w:rsidRPr="002F7CFA">
        <w:rPr>
          <w:rFonts w:ascii="Times New Roman" w:hAnsi="Times New Roman" w:cs="Times New Roman"/>
          <w:iCs/>
          <w:sz w:val="27"/>
          <w:szCs w:val="27"/>
        </w:rPr>
        <w:t xml:space="preserve"> lượng đào tạo</w:t>
      </w:r>
      <w:r w:rsidR="0097360A" w:rsidRPr="002F7CFA">
        <w:rPr>
          <w:rFonts w:ascii="Times New Roman" w:hAnsi="Times New Roman" w:cs="Times New Roman"/>
          <w:iCs/>
          <w:sz w:val="27"/>
          <w:szCs w:val="27"/>
        </w:rPr>
        <w:t>.</w:t>
      </w:r>
    </w:p>
    <w:p w14:paraId="67502501" w14:textId="77777777" w:rsidR="001760CB" w:rsidRPr="002F7CFA" w:rsidRDefault="001760CB" w:rsidP="00C730A3">
      <w:pPr>
        <w:spacing w:line="336" w:lineRule="auto"/>
        <w:jc w:val="both"/>
        <w:rPr>
          <w:rFonts w:ascii="Times New Roman" w:hAnsi="Times New Roman" w:cs="Times New Roman"/>
          <w:b/>
          <w:bCs/>
          <w:sz w:val="27"/>
          <w:szCs w:val="27"/>
        </w:rPr>
      </w:pPr>
      <w:r w:rsidRPr="002F7CFA">
        <w:rPr>
          <w:rFonts w:ascii="Times New Roman" w:hAnsi="Times New Roman" w:cs="Times New Roman"/>
          <w:b/>
          <w:bCs/>
          <w:sz w:val="27"/>
          <w:szCs w:val="27"/>
        </w:rPr>
        <w:t>2. TÌNH HUỐNG</w:t>
      </w:r>
    </w:p>
    <w:p w14:paraId="08A88403" w14:textId="09222E95" w:rsidR="001760CB" w:rsidRPr="002F7CFA" w:rsidRDefault="001760CB" w:rsidP="00C730A3">
      <w:pPr>
        <w:spacing w:line="336" w:lineRule="auto"/>
        <w:jc w:val="both"/>
        <w:rPr>
          <w:rFonts w:ascii="Times New Roman" w:hAnsi="Times New Roman" w:cs="Times New Roman"/>
          <w:b/>
          <w:bCs/>
          <w:sz w:val="27"/>
          <w:szCs w:val="27"/>
        </w:rPr>
      </w:pPr>
      <w:r w:rsidRPr="002F7CFA">
        <w:rPr>
          <w:rFonts w:ascii="Times New Roman" w:hAnsi="Times New Roman" w:cs="Times New Roman"/>
          <w:b/>
          <w:bCs/>
          <w:sz w:val="27"/>
          <w:szCs w:val="27"/>
        </w:rPr>
        <w:t>2.1. Mô tả tình huố</w:t>
      </w:r>
      <w:r w:rsidR="009D205F" w:rsidRPr="002F7CFA">
        <w:rPr>
          <w:rFonts w:ascii="Times New Roman" w:hAnsi="Times New Roman" w:cs="Times New Roman"/>
          <w:b/>
          <w:bCs/>
          <w:sz w:val="27"/>
          <w:szCs w:val="27"/>
        </w:rPr>
        <w:t>ng</w:t>
      </w:r>
    </w:p>
    <w:p w14:paraId="43DD291A" w14:textId="7D67AEAB" w:rsidR="001760CB" w:rsidRPr="002F7CFA" w:rsidRDefault="001760CB" w:rsidP="00C730A3">
      <w:pPr>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Khi mới thành lập, khóa bác sĩ đa khoa đầu tiên chỉ tuyển 63 sinh viên; những năm sau đó mỗi năm tuyển từ 100 – 150 sinh viên; đến năm 2008 chỉ tiêu tăng gần như gấp đôi và từ đây số lượng tăng nhanh lên đến 1000 sinh viên trong một năm. Việc tăng nhanh chỉ tiêu tuyển sinh là do nhu cầu bức thiết bổ sung nguồn nhân lực y tế cho Thành phố, đáp ứng với chỉ tiêu phấn đấu của Đại hội đảng bộ Thành phố lần thứ IX.</w:t>
      </w:r>
      <w:r w:rsidR="0097360A" w:rsidRPr="002F7CFA">
        <w:rPr>
          <w:rFonts w:ascii="Times New Roman" w:hAnsi="Times New Roman" w:cs="Times New Roman"/>
          <w:iCs/>
          <w:sz w:val="27"/>
          <w:szCs w:val="27"/>
        </w:rPr>
        <w:t xml:space="preserve"> Cụ thể, rường được giao trọng trách cung cấp chính nhân lực y tế cho TP. HCM vì Đại học Y Dược hàng năm chỉ tuyển khoảng 50–70 sinh viên vào ngành bác sỹ đa khoa có hộ khẩu tại TP. HCM. Chỉ tiêu đề ra là đến năm 2015 phải đạt tỷ lệ 15 bác sỹ/10.000 dân và đến năm 2020 phải có 20 bác sỹ/10.000 dân.</w:t>
      </w:r>
    </w:p>
    <w:p w14:paraId="59F66B3B" w14:textId="2AA9D0E4" w:rsidR="0097360A" w:rsidRPr="002F7CFA" w:rsidRDefault="0097360A" w:rsidP="00C730A3">
      <w:pPr>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Song song với sự phát triển của Trường Đại học Y khoa Phạm Ngọc Thạch là sự ra đời của thông tư </w:t>
      </w:r>
      <w:r w:rsidR="006A59D1" w:rsidRPr="002F7CFA">
        <w:rPr>
          <w:rFonts w:ascii="Times New Roman" w:hAnsi="Times New Roman" w:cs="Times New Roman"/>
          <w:iCs/>
          <w:sz w:val="27"/>
          <w:szCs w:val="27"/>
        </w:rPr>
        <w:t xml:space="preserve">24/2015/TT-BGDĐT </w:t>
      </w:r>
      <w:r w:rsidRPr="002F7CFA">
        <w:rPr>
          <w:rFonts w:ascii="Times New Roman" w:hAnsi="Times New Roman" w:cs="Times New Roman"/>
          <w:iCs/>
          <w:sz w:val="27"/>
          <w:szCs w:val="27"/>
        </w:rPr>
        <w:t xml:space="preserve">quy định chuẩn quốc gia đối với cơ sở giáo dục đại học. được xây dựng dựa trên Luật Giáo dục đại học ngày 18 tháng 6 năm 2012, Nghị định số 36/2012/NĐ-CP ngày 18 tháng 04 năm 2012 của Chính </w:t>
      </w:r>
      <w:r w:rsidRPr="002F7CFA">
        <w:rPr>
          <w:rFonts w:ascii="Times New Roman" w:hAnsi="Times New Roman" w:cs="Times New Roman"/>
          <w:iCs/>
          <w:sz w:val="27"/>
          <w:szCs w:val="27"/>
        </w:rPr>
        <w:lastRenderedPageBreak/>
        <w:t>phủ quy định chức năng, nhiệm vụ, quyền hạn và cơ cấu tổ chức của Bộ,</w:t>
      </w:r>
      <w:r w:rsidRPr="002F7CFA">
        <w:rPr>
          <w:rFonts w:ascii="Times New Roman" w:hAnsi="Times New Roman" w:cs="Times New Roman"/>
          <w:iCs/>
          <w:sz w:val="27"/>
          <w:szCs w:val="27"/>
        </w:rPr>
        <w:br/>
        <w:t>cơ quan ngang Bộ, Nghị định số 32/2008/NĐ-CP ngày 19 tháng 3 năm 2008 của Chính phủ quy định chức năng, nhiệm vụ, quyền hạn và cơ cấu tổ chức của Bộ Giáo dục và Đào tạo, Nghị định số 141/2013/NĐ-CP ngày 24 tháng 10 năm 2013 của Chính phủ quy định chi tiết và hướng dẫn thi hành một số điều của Luật Giáo dục đại học, chi tiết như sau:</w:t>
      </w:r>
    </w:p>
    <w:p w14:paraId="09B296FA" w14:textId="77777777" w:rsidR="00925542" w:rsidRPr="002F7CFA" w:rsidRDefault="0097360A" w:rsidP="00C730A3">
      <w:pPr>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Tiêu chuẩn về đất đai, cơ sở vật chất và thiết bị: Diện tích đất cơ sở giáo dục đại học được giao ít nhất 25m2/1 sinh viên, diện tích sàn xây dựng trực tiếp phục vụ đào tạo ít nhất 3m²/1 sinh viên</w:t>
      </w:r>
      <w:r w:rsidR="00925542" w:rsidRPr="002F7CFA">
        <w:rPr>
          <w:rFonts w:ascii="Times New Roman" w:hAnsi="Times New Roman" w:cs="Times New Roman"/>
          <w:iCs/>
          <w:sz w:val="27"/>
          <w:szCs w:val="27"/>
        </w:rPr>
        <w:t>;</w:t>
      </w:r>
      <w:r w:rsidRPr="002F7CFA">
        <w:rPr>
          <w:rFonts w:ascii="Times New Roman" w:hAnsi="Times New Roman" w:cs="Times New Roman"/>
          <w:iCs/>
          <w:sz w:val="27"/>
          <w:szCs w:val="27"/>
        </w:rPr>
        <w:t xml:space="preserve"> Các hạng mục công trình xây dựng đảm bảo tiêu chuẩn Quốc gia</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về thiết kế công trình trường đại học hiệ</w:t>
      </w:r>
      <w:r w:rsidR="00925542" w:rsidRPr="002F7CFA">
        <w:rPr>
          <w:rFonts w:ascii="Times New Roman" w:hAnsi="Times New Roman" w:cs="Times New Roman"/>
          <w:iCs/>
          <w:sz w:val="27"/>
          <w:szCs w:val="27"/>
        </w:rPr>
        <w:t>n hành;</w:t>
      </w:r>
      <w:r w:rsidRPr="002F7CFA">
        <w:rPr>
          <w:rFonts w:ascii="Times New Roman" w:hAnsi="Times New Roman" w:cs="Times New Roman"/>
          <w:iCs/>
          <w:sz w:val="27"/>
          <w:szCs w:val="27"/>
        </w:rPr>
        <w:t xml:space="preserve"> Có đủ các phương tiện, trang thiết bị cần thiết đáp ứng yêu cầu về đào tạo</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và nghiên cứu khoa học; có cơ sở thực hành và trang thiết bị chuyên biệt theo yêu</w:t>
      </w:r>
      <w:r w:rsidRPr="002F7CFA">
        <w:rPr>
          <w:rFonts w:ascii="Times New Roman" w:hAnsi="Times New Roman" w:cs="Times New Roman"/>
          <w:iCs/>
          <w:sz w:val="27"/>
          <w:szCs w:val="27"/>
        </w:rPr>
        <w:br/>
        <w:t>cầu đảm bảo chất lượng đối với các ngành, chuyên ngành đào tạo đặ</w:t>
      </w:r>
      <w:r w:rsidR="00925542" w:rsidRPr="002F7CFA">
        <w:rPr>
          <w:rFonts w:ascii="Times New Roman" w:hAnsi="Times New Roman" w:cs="Times New Roman"/>
          <w:iCs/>
          <w:sz w:val="27"/>
          <w:szCs w:val="27"/>
        </w:rPr>
        <w:t xml:space="preserve">c thù; </w:t>
      </w:r>
      <w:r w:rsidRPr="002F7CFA">
        <w:rPr>
          <w:rFonts w:ascii="Times New Roman" w:hAnsi="Times New Roman" w:cs="Times New Roman"/>
          <w:iCs/>
          <w:sz w:val="27"/>
          <w:szCs w:val="27"/>
        </w:rPr>
        <w:t>Thư viện và trung tâm thông tin học liệu có đủ giáo trình, sách tham</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khảo cần thiết cho các chương trình đào tạo; có bản quyền truy cập ít nhất 1 cơ</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sở dữ liệu khoa học quốc tế và có ít nhất 1 tạp chí khoa học quốc tế (bản in hay</w:t>
      </w:r>
      <w:r w:rsidRPr="002F7CFA">
        <w:rPr>
          <w:rFonts w:ascii="Times New Roman" w:hAnsi="Times New Roman" w:cs="Times New Roman"/>
          <w:iCs/>
          <w:sz w:val="27"/>
          <w:szCs w:val="27"/>
        </w:rPr>
        <w:br/>
        <w:t>bản điện tử) đối với mỗi ngành đào tạ</w:t>
      </w:r>
      <w:r w:rsidR="00925542" w:rsidRPr="002F7CFA">
        <w:rPr>
          <w:rFonts w:ascii="Times New Roman" w:hAnsi="Times New Roman" w:cs="Times New Roman"/>
          <w:iCs/>
          <w:sz w:val="27"/>
          <w:szCs w:val="27"/>
        </w:rPr>
        <w:t xml:space="preserve">o; </w:t>
      </w:r>
      <w:r w:rsidRPr="002F7CFA">
        <w:rPr>
          <w:rFonts w:ascii="Times New Roman" w:hAnsi="Times New Roman" w:cs="Times New Roman"/>
          <w:iCs/>
          <w:sz w:val="27"/>
          <w:szCs w:val="27"/>
        </w:rPr>
        <w:t>Hệ thống hạ tầng công nghệ thông tin kết nối tất cả các đơn vị liên</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quan đảm bảo tính sẵn sàng truy cập thông tin và sử dụng theo phân cấp quản</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lý của cơ sở giáo dục đại học; trang thông tin điện tử có đầy đủ các thông tin</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cần phải công khai theo quy định của pháp luật và các thông tin cần thiết khác</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về cơ cấu tổ chức và các mặt hoạt động của cơ sở giáo dục đại học cho sinh</w:t>
      </w:r>
      <w:r w:rsidR="00925542" w:rsidRPr="002F7CFA">
        <w:rPr>
          <w:rFonts w:ascii="Times New Roman" w:hAnsi="Times New Roman" w:cs="Times New Roman"/>
          <w:iCs/>
          <w:sz w:val="27"/>
          <w:szCs w:val="27"/>
        </w:rPr>
        <w:t xml:space="preserve"> </w:t>
      </w:r>
      <w:r w:rsidRPr="002F7CFA">
        <w:rPr>
          <w:rFonts w:ascii="Times New Roman" w:hAnsi="Times New Roman" w:cs="Times New Roman"/>
          <w:iCs/>
          <w:sz w:val="27"/>
          <w:szCs w:val="27"/>
        </w:rPr>
        <w:t>viên và những người quan tâm tra cứu.</w:t>
      </w:r>
    </w:p>
    <w:p w14:paraId="63624CD1" w14:textId="5B2C9D0C" w:rsidR="0097360A" w:rsidRPr="002F7CFA" w:rsidRDefault="00925542" w:rsidP="00C730A3">
      <w:pPr>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 xml:space="preserve">Tiêu chuẩn </w:t>
      </w:r>
      <w:r w:rsidRPr="002F7CFA">
        <w:rPr>
          <w:rFonts w:ascii="Times New Roman" w:hAnsi="Times New Roman" w:cs="Times New Roman"/>
          <w:iCs/>
          <w:sz w:val="27"/>
          <w:szCs w:val="27"/>
        </w:rPr>
        <w:t>về đ</w:t>
      </w:r>
      <w:r w:rsidR="0097360A" w:rsidRPr="002F7CFA">
        <w:rPr>
          <w:rFonts w:ascii="Times New Roman" w:hAnsi="Times New Roman" w:cs="Times New Roman"/>
          <w:iCs/>
          <w:sz w:val="27"/>
          <w:szCs w:val="27"/>
        </w:rPr>
        <w:t>ội ngũ giảng viên, nghiên cứu viên và cán bộ quản lý</w:t>
      </w:r>
      <w:r w:rsidRPr="002F7CFA">
        <w:rPr>
          <w:rFonts w:ascii="Times New Roman" w:hAnsi="Times New Roman" w:cs="Times New Roman"/>
          <w:iCs/>
          <w:sz w:val="27"/>
          <w:szCs w:val="27"/>
        </w:rPr>
        <w:t>:</w:t>
      </w:r>
      <w:r w:rsidR="0097360A" w:rsidRPr="002F7CFA">
        <w:rPr>
          <w:rFonts w:ascii="Times New Roman" w:hAnsi="Times New Roman" w:cs="Times New Roman"/>
          <w:iCs/>
          <w:sz w:val="27"/>
          <w:szCs w:val="27"/>
        </w:rPr>
        <w:t xml:space="preserve"> Giảng viên cơ hữu, nghiên cứu viên cơ hữu, giảng viên thỉnh giảng và</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cán bộ quản lý đáp ứng các tiêu chuẩn của từng vị trí công tác theo quy định</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của các văn bản pháp luật có liên quan</w:t>
      </w:r>
      <w:r w:rsidRPr="002F7CFA">
        <w:rPr>
          <w:rFonts w:ascii="Times New Roman" w:hAnsi="Times New Roman" w:cs="Times New Roman"/>
          <w:iCs/>
          <w:sz w:val="27"/>
          <w:szCs w:val="27"/>
        </w:rPr>
        <w:t>;</w:t>
      </w:r>
      <w:r w:rsidR="0097360A" w:rsidRPr="002F7CFA">
        <w:rPr>
          <w:rFonts w:ascii="Times New Roman" w:hAnsi="Times New Roman" w:cs="Times New Roman"/>
          <w:iCs/>
          <w:sz w:val="27"/>
          <w:szCs w:val="27"/>
        </w:rPr>
        <w:t xml:space="preserve"> Giảng viên cơ hữu đảm nhận giảng dạy ít nhất 80% khối lượng kiến</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thức của mỗi chương trình đào tạo</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Tỉ lệ sinh viên/giảng viên cơ hữu xác định theo ngành đào tạo đảm bảo</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không quá 10 sinh viên/giảng viên đối với nhóm ngành nghệ thuật, thể dục thể</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thao; 15 sinh viên/giảng viên đối với nhóm ngành y-dược và 20 sinh</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viên/giảng viên đối với các nhóm ngành khác</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Giảng viên cơ hữu và nghiên cứu viên cơ hữu có trình độ tiến sĩ chiếm</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ít nhất 40% tổng số giảng viên, nghiên cứu viên cơ hữu đối với cơ sở giáo dục</w:t>
      </w:r>
      <w:r w:rsidRPr="002F7CFA">
        <w:rPr>
          <w:rFonts w:ascii="Times New Roman" w:hAnsi="Times New Roman" w:cs="Times New Roman"/>
          <w:iCs/>
          <w:sz w:val="27"/>
          <w:szCs w:val="27"/>
        </w:rPr>
        <w:t xml:space="preserve"> </w:t>
      </w:r>
      <w:r w:rsidR="0097360A" w:rsidRPr="002F7CFA">
        <w:rPr>
          <w:rFonts w:ascii="Times New Roman" w:hAnsi="Times New Roman" w:cs="Times New Roman"/>
          <w:iCs/>
          <w:sz w:val="27"/>
          <w:szCs w:val="27"/>
        </w:rPr>
        <w:t xml:space="preserve">đại học định hướng nghiên cứu, </w:t>
      </w:r>
      <w:r w:rsidR="0097360A" w:rsidRPr="002F7CFA">
        <w:rPr>
          <w:rFonts w:ascii="Times New Roman" w:hAnsi="Times New Roman" w:cs="Times New Roman"/>
          <w:iCs/>
          <w:sz w:val="27"/>
          <w:szCs w:val="27"/>
        </w:rPr>
        <w:lastRenderedPageBreak/>
        <w:t>25% đối với cơ sở giáo dục đại học định</w:t>
      </w:r>
      <w:r w:rsidR="002D65B9" w:rsidRPr="002F7CFA">
        <w:rPr>
          <w:rFonts w:ascii="Times New Roman" w:hAnsi="Times New Roman" w:cs="Times New Roman"/>
          <w:iCs/>
          <w:sz w:val="27"/>
          <w:szCs w:val="27"/>
        </w:rPr>
        <w:t xml:space="preserve"> hướng ứng dụng và 10% đối với cơ sở giáo dục đại học định hướng thực hành. Riêng đối với ngành, chuyên ngành đào tạo theo định hướng nghiên cứu của các cơ sở giáo dục đại học theo định hướng nghiên cứu tỷ lệ này không thấp hơn 50%; Đối với cơ sở giáo dục đại học định hướng nghiên cứu, tỷ lệ giảng viên, nghiên cứu viên có chức danh giáo sư và phó giáo sư trong tổng số giảng viên, nghiên cứu viên cơ hữu có trình độ tiến sĩ chiếm ít nhất 30%.</w:t>
      </w:r>
    </w:p>
    <w:p w14:paraId="1E17C806" w14:textId="77777777" w:rsidR="006A59D1"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2.2 Bình luận</w:t>
      </w:r>
    </w:p>
    <w:p w14:paraId="52F82DF6" w14:textId="2ABAA961" w:rsidR="006A59D1"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Như vậy, so sánh giữa tình hình thực tế</w:t>
      </w:r>
      <w:r w:rsidR="002D65B9" w:rsidRPr="002F7CFA">
        <w:rPr>
          <w:rFonts w:ascii="Times New Roman" w:hAnsi="Times New Roman" w:cs="Times New Roman"/>
          <w:sz w:val="27"/>
          <w:szCs w:val="27"/>
        </w:rPr>
        <w:t xml:space="preserve"> và thông tư chuyên ngành còn một khoảng cách khá lớn giữa quy mô và các nguồn lực. Điều này đi đến từ nhiều nguyên nhân mà cá nhân tôi cho rằng có 2 nguyên nhân lớn: </w:t>
      </w:r>
    </w:p>
    <w:p w14:paraId="5E735F86" w14:textId="4F90ADDD" w:rsidR="002D65B9" w:rsidRPr="002F7CFA" w:rsidRDefault="002D65B9"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Tính pháp chế của Nhà trường chưa cao</w:t>
      </w:r>
    </w:p>
    <w:p w14:paraId="03F7AC11" w14:textId="7A40BF31" w:rsidR="002D65B9" w:rsidRPr="002F7CFA" w:rsidRDefault="002D65B9"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 Năng lực tài chính của Trường chưa cao do còn phụ thuộc </w:t>
      </w:r>
      <w:r w:rsidR="009D205F" w:rsidRPr="002F7CFA">
        <w:rPr>
          <w:rFonts w:ascii="Times New Roman" w:hAnsi="Times New Roman" w:cs="Times New Roman"/>
          <w:sz w:val="27"/>
          <w:szCs w:val="27"/>
        </w:rPr>
        <w:t>nguồn ngân sách nhà nước</w:t>
      </w:r>
    </w:p>
    <w:p w14:paraId="116145C8" w14:textId="77777777" w:rsidR="006A59D1"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2.3 Lựa chọn vấn đề giải quyết</w:t>
      </w:r>
    </w:p>
    <w:p w14:paraId="26610304" w14:textId="64B99CFB" w:rsidR="009D205F" w:rsidRPr="002F7CFA" w:rsidRDefault="009D205F"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Theo phân tích trên từ phần bình luận, vấn đề </w:t>
      </w:r>
      <w:r w:rsidR="00042680" w:rsidRPr="002F7CFA">
        <w:rPr>
          <w:rFonts w:ascii="Times New Roman" w:hAnsi="Times New Roman" w:cs="Times New Roman"/>
          <w:i/>
          <w:sz w:val="27"/>
          <w:szCs w:val="27"/>
        </w:rPr>
        <w:t xml:space="preserve">giữa tình hình thực tế và thông tư chuyên ngành còn một khoảng cách khá lớn giữa quy mô và các nguồn lực </w:t>
      </w:r>
      <w:r w:rsidR="00042680" w:rsidRPr="002F7CFA">
        <w:rPr>
          <w:rFonts w:ascii="Times New Roman" w:hAnsi="Times New Roman" w:cs="Times New Roman"/>
          <w:sz w:val="27"/>
          <w:szCs w:val="27"/>
        </w:rPr>
        <w:t>đi đến từ 2 nguyên nhân cần được giải quyết</w:t>
      </w:r>
    </w:p>
    <w:p w14:paraId="5BBEB497" w14:textId="77777777" w:rsidR="006A59D1" w:rsidRPr="002F7CFA" w:rsidRDefault="006A59D1" w:rsidP="00C730A3">
      <w:pPr>
        <w:spacing w:line="336" w:lineRule="auto"/>
        <w:jc w:val="both"/>
        <w:rPr>
          <w:rFonts w:ascii="Times New Roman" w:hAnsi="Times New Roman" w:cs="Times New Roman"/>
          <w:b/>
          <w:sz w:val="27"/>
          <w:szCs w:val="27"/>
        </w:rPr>
      </w:pPr>
      <w:r w:rsidRPr="002F7CFA">
        <w:rPr>
          <w:rFonts w:ascii="Times New Roman" w:hAnsi="Times New Roman" w:cs="Times New Roman"/>
          <w:b/>
          <w:sz w:val="27"/>
          <w:szCs w:val="27"/>
        </w:rPr>
        <w:t>3. PHƯƠNG ÁN GIẢI QUYẾT VẤN ĐỀ LỰA CHỌN</w:t>
      </w:r>
    </w:p>
    <w:p w14:paraId="3E22E1C4" w14:textId="4F8B4ED7" w:rsidR="006A59D1"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3.1 Phương án 1</w:t>
      </w:r>
      <w:r w:rsidR="001D7C28" w:rsidRPr="002F7CFA">
        <w:rPr>
          <w:rFonts w:ascii="Times New Roman" w:hAnsi="Times New Roman" w:cs="Times New Roman"/>
          <w:sz w:val="27"/>
          <w:szCs w:val="27"/>
        </w:rPr>
        <w:t xml:space="preserve">: Thành lập ban </w:t>
      </w:r>
      <w:r w:rsidR="00C47A38" w:rsidRPr="002F7CFA">
        <w:rPr>
          <w:rFonts w:ascii="Times New Roman" w:hAnsi="Times New Roman" w:cs="Times New Roman"/>
          <w:sz w:val="27"/>
          <w:szCs w:val="27"/>
        </w:rPr>
        <w:t>P</w:t>
      </w:r>
      <w:r w:rsidR="001D7C28" w:rsidRPr="002F7CFA">
        <w:rPr>
          <w:rFonts w:ascii="Times New Roman" w:hAnsi="Times New Roman" w:cs="Times New Roman"/>
          <w:sz w:val="27"/>
          <w:szCs w:val="27"/>
        </w:rPr>
        <w:t xml:space="preserve">háp chế làm tiền đề cho phòng </w:t>
      </w:r>
      <w:r w:rsidR="00C47A38" w:rsidRPr="002F7CFA">
        <w:rPr>
          <w:rFonts w:ascii="Times New Roman" w:hAnsi="Times New Roman" w:cs="Times New Roman"/>
          <w:sz w:val="27"/>
          <w:szCs w:val="27"/>
        </w:rPr>
        <w:t>P</w:t>
      </w:r>
      <w:r w:rsidR="001D7C28" w:rsidRPr="002F7CFA">
        <w:rPr>
          <w:rFonts w:ascii="Times New Roman" w:hAnsi="Times New Roman" w:cs="Times New Roman"/>
          <w:sz w:val="27"/>
          <w:szCs w:val="27"/>
        </w:rPr>
        <w:t>háp chế của Trường Đại học Y khoa Phạm Ngọc Thạch</w:t>
      </w:r>
    </w:p>
    <w:p w14:paraId="5BBDF5D6" w14:textId="77777777"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Thực hiện Nghị định số 32/2008/NĐ-CP ngày 19 tháng 3 năm 2008 của chính phủ quy định chức năng, nhiệm vụ, quyền hạn và cơ cấu tổ chức của Bộ Giáo dục và Đào tạo và Nghị định số 55/2011/NĐ-CP ngày 04 tháng 7 năm 2011 của Chính phủ quy định chức năng, nhiệm vụ, quyền hạn và tổ chức bộ máy của tổ chức pháp chế (Nghị định số 55/2011/NĐ-CP); trên cơ sở văn bản số 3034/BTP-VĐCXDPL ngày 09/7/2014 của Bộ Tư pháp về việc góp ý dự thảo hướng dẫn về tổ chức pháp chế trong các cơ sở giáo dục đại học; nhằm tăng cường công tác pháp chế và tuân thủ pháp luật của các cơ sở giáo dục đại học, Bộ Giáo dục và Đào tạo hướng dẫn tổ chức làm công tác pháp chế của các đại học quốc gia; đại học vùng; học viện; các trường đại học, cao đẳng (sau đây gọi là các cơ sở giáo dục đại học) như sau:</w:t>
      </w:r>
    </w:p>
    <w:p w14:paraId="218D0828" w14:textId="2AB1E7C9" w:rsidR="001D7C28" w:rsidRPr="002F7CFA" w:rsidRDefault="001D7C28" w:rsidP="00C730A3">
      <w:pPr>
        <w:widowControl w:val="0"/>
        <w:autoSpaceDE w:val="0"/>
        <w:autoSpaceDN w:val="0"/>
        <w:adjustRightInd w:val="0"/>
        <w:spacing w:line="336" w:lineRule="auto"/>
        <w:jc w:val="both"/>
        <w:rPr>
          <w:rFonts w:ascii="Times New Roman" w:hAnsi="Times New Roman" w:cs="Times New Roman"/>
          <w:i/>
          <w:sz w:val="27"/>
          <w:szCs w:val="27"/>
        </w:rPr>
      </w:pPr>
      <w:r w:rsidRPr="002F7CFA">
        <w:rPr>
          <w:rFonts w:ascii="Times New Roman" w:hAnsi="Times New Roman" w:cs="Times New Roman"/>
          <w:bCs/>
          <w:i/>
          <w:iCs/>
          <w:sz w:val="27"/>
          <w:szCs w:val="27"/>
        </w:rPr>
        <w:t>Về tổ chức pháp chế</w:t>
      </w:r>
    </w:p>
    <w:p w14:paraId="3A7EB236" w14:textId="0D388A1C"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lastRenderedPageBreak/>
        <w:t>- Tổ chức pháp chế ở các cơ sở giáo dục đại học là đơn vị chuyên môn, có chức năng tham mưu, tư vấn cho Hội đồng đại học, Hội đồng trường, Hội đồng quản trị, Giám đốc, Hiệu trưởng về những vấn đề pháp lý liên quan đến tổ chức, quản lý và hoạt động của nhà trường; bảo đảm cho nhà trường hoạt động tuân theo pháp luật và thực hiện nguyên tắc pháp chế.</w:t>
      </w:r>
    </w:p>
    <w:p w14:paraId="298786A1" w14:textId="0A41FDD0"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Thủ trưởng cơ sở giáo dục đại học quyết định thành lập tổ chức pháp chế hoặc bố trí cán bộ chuyên trách làm công tác pháp chế. Đối với các trường đại học, cao đẳng thành viên của đại học quốc gia, đại học vùng có thể bố trí cán bộ chuyên trách hoặc cán bộ kiêm nhiệm làm công tác pháp chế.</w:t>
      </w:r>
    </w:p>
    <w:p w14:paraId="4F448D21" w14:textId="064392B6"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Tổ chức pháp chế ở các cơ sở giáo dục đại học chịu sự hướng dẫn về chuyên môn, nghiệp vụ công tác pháp chế của Vụ Pháp chế, Bộ Giáo dục và Đào tạo và tổ chức pháp chế của các Bộ, ngành có trường trực thuộc.</w:t>
      </w:r>
    </w:p>
    <w:p w14:paraId="13E6FF23" w14:textId="733ECA66" w:rsidR="001D7C28" w:rsidRPr="002F7CFA" w:rsidRDefault="001D7C28" w:rsidP="00C730A3">
      <w:pPr>
        <w:widowControl w:val="0"/>
        <w:autoSpaceDE w:val="0"/>
        <w:autoSpaceDN w:val="0"/>
        <w:adjustRightInd w:val="0"/>
        <w:spacing w:line="336" w:lineRule="auto"/>
        <w:jc w:val="both"/>
        <w:rPr>
          <w:rFonts w:ascii="Times New Roman" w:hAnsi="Times New Roman" w:cs="Times New Roman"/>
          <w:i/>
          <w:sz w:val="27"/>
          <w:szCs w:val="27"/>
        </w:rPr>
      </w:pPr>
      <w:r w:rsidRPr="002F7CFA">
        <w:rPr>
          <w:rFonts w:ascii="Times New Roman" w:hAnsi="Times New Roman" w:cs="Times New Roman"/>
          <w:bCs/>
          <w:i/>
          <w:iCs/>
          <w:sz w:val="27"/>
          <w:szCs w:val="27"/>
        </w:rPr>
        <w:t>Về nhiệm vụ, quyền hạn của tổ chức pháp chế</w:t>
      </w:r>
    </w:p>
    <w:p w14:paraId="1FD69485" w14:textId="77777777"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Nhiệm vụ, quyền hạn của tổ chức pháp chế trong các cơ sở giáo dục đại học được vận dụng các nội dung quy định tại Nghị định số 55/2011/NĐ - CP. Cụ thể như sau:    </w:t>
      </w:r>
    </w:p>
    <w:p w14:paraId="060C6BA4" w14:textId="6469B0A4"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Chủ trì, phối hợp với các bộ phận liên quan tư vấn, giúp Hội đồng đại học, Hội đồng trường, Hội đồng quản trị và Giám đốc, Hiệu trưởng về những vấn đề pháp lý của đơn vị; bảo vệ quyền và lợi ích hợp pháp của nhà trường, đơn vị; của cán bộ, giảng viên, nhân viên, người học.</w:t>
      </w:r>
    </w:p>
    <w:p w14:paraId="258A2455" w14:textId="1FF34513"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Giúp Hội đồng đại học, Hội đồng trường, Hội đồng quản trị, Giám đốc, Hiệu trưởng chuẩn bị ý kiến góp ý cho dự thảo văn bản quy phạm pháp luật do các cơ quan, đơn vị gửi lấy ý kiến; kiến nghị với các cơ quan có thẩm quyền trong việc sửa đổi, bổ sung hoặc ban hành văn bản quy phạm pháp luật.</w:t>
      </w:r>
    </w:p>
    <w:p w14:paraId="3FA09BBC" w14:textId="682CE0AE"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Tham gia ý kiến về mặt pháp lý đối với văn bản do các đơn vị khác của cơ sở giáo dục đại học soạn thảo trước khi trình Hội đồng đại học, hội đồng trường, Hội đồng quản trị, Giám đốc, Hiệu trưởng ký ban hành.</w:t>
      </w:r>
    </w:p>
    <w:p w14:paraId="0F834062" w14:textId="36C5BE1C"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 Tổ chức tuyên truyền, phổ biến, giáo dục pháp luật; nội quy, quy chế của các cơ quan liên quan và của cơ sở giáo dục đại học cho cán bộ, viên chức, nhân viên, giảng viên và người học.</w:t>
      </w:r>
    </w:p>
    <w:p w14:paraId="3949B536" w14:textId="18AB7633"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xml:space="preserve">- Phối hợp với các bộ phận chức năng có liên quan kiểm tra, giám sát việc thực hiện công tác tuyên truyền, giáo dục nâng cao ý thức pháp luật trong phạm </w:t>
      </w:r>
      <w:proofErr w:type="gramStart"/>
      <w:r w:rsidRPr="002F7CFA">
        <w:rPr>
          <w:rFonts w:ascii="Times New Roman" w:hAnsi="Times New Roman" w:cs="Times New Roman"/>
          <w:iCs/>
          <w:sz w:val="27"/>
          <w:szCs w:val="27"/>
        </w:rPr>
        <w:t>vi</w:t>
      </w:r>
      <w:proofErr w:type="gramEnd"/>
      <w:r w:rsidRPr="002F7CFA">
        <w:rPr>
          <w:rFonts w:ascii="Times New Roman" w:hAnsi="Times New Roman" w:cs="Times New Roman"/>
          <w:iCs/>
          <w:sz w:val="27"/>
          <w:szCs w:val="27"/>
        </w:rPr>
        <w:t xml:space="preserve"> đơn </w:t>
      </w:r>
      <w:r w:rsidRPr="002F7CFA">
        <w:rPr>
          <w:rFonts w:ascii="Times New Roman" w:hAnsi="Times New Roman" w:cs="Times New Roman"/>
          <w:iCs/>
          <w:sz w:val="27"/>
          <w:szCs w:val="27"/>
        </w:rPr>
        <w:lastRenderedPageBreak/>
        <w:t>vị.</w:t>
      </w:r>
    </w:p>
    <w:p w14:paraId="5BB9A8A4" w14:textId="007F2178"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Chủ trì phối hợp với các đơn vị liên quan giúp Hội đồng đại học, Hội đồng trường, Hội đồng quản trị, Giám đốc, Hiệu trưởng theo dõi, đôn đốc, kiểm tra việc thực hiện các văn bản quy phạm pháp luật của Nhà nước; văn bản quản lý, chỉ đạo, điều hành của nhà trường và của đơn vị.</w:t>
      </w:r>
    </w:p>
    <w:p w14:paraId="7C87751D" w14:textId="77777777"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xml:space="preserve">Kiến nghị các biện pháp phòng ngừa, khắc phục hậu quả và xử lý các </w:t>
      </w:r>
      <w:proofErr w:type="gramStart"/>
      <w:r w:rsidRPr="002F7CFA">
        <w:rPr>
          <w:rFonts w:ascii="Times New Roman" w:hAnsi="Times New Roman" w:cs="Times New Roman"/>
          <w:iCs/>
          <w:sz w:val="27"/>
          <w:szCs w:val="27"/>
        </w:rPr>
        <w:t>vi</w:t>
      </w:r>
      <w:proofErr w:type="gramEnd"/>
      <w:r w:rsidRPr="002F7CFA">
        <w:rPr>
          <w:rFonts w:ascii="Times New Roman" w:hAnsi="Times New Roman" w:cs="Times New Roman"/>
          <w:iCs/>
          <w:sz w:val="27"/>
          <w:szCs w:val="27"/>
        </w:rPr>
        <w:t xml:space="preserve"> phạm pháp luật, nội quy, quy chế trong hoạt động của nhà trường và đơn vị.</w:t>
      </w:r>
    </w:p>
    <w:p w14:paraId="73A4DC0F" w14:textId="75013CB9"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xml:space="preserve">- Thực hiện chế độ báo cáo tình hình thực hiện công tác pháp chế với cơ quan quản lý giáo dục và thủ trưởng đơn vị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quy định.</w:t>
      </w:r>
    </w:p>
    <w:p w14:paraId="169B157A" w14:textId="5012AE2A" w:rsidR="001D7C28" w:rsidRPr="002F7CFA" w:rsidRDefault="001D7C28" w:rsidP="00C730A3">
      <w:pPr>
        <w:widowControl w:val="0"/>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Cs/>
          <w:sz w:val="27"/>
          <w:szCs w:val="27"/>
        </w:rPr>
        <w:t>- Thực hiện các nhiệm vụ khác do Hội đồng đại học, Hội đồng trường, Hội đồng quản trị, Giám đốc, Hiệu trưởng giao.</w:t>
      </w:r>
    </w:p>
    <w:p w14:paraId="565F103D" w14:textId="17540FBD" w:rsidR="001D7C28" w:rsidRPr="002F7CFA" w:rsidRDefault="001D7C28" w:rsidP="00C730A3">
      <w:pPr>
        <w:spacing w:line="336" w:lineRule="auto"/>
        <w:jc w:val="both"/>
        <w:rPr>
          <w:rFonts w:ascii="Times New Roman" w:hAnsi="Times New Roman" w:cs="Times New Roman"/>
          <w:i/>
          <w:sz w:val="27"/>
          <w:szCs w:val="27"/>
        </w:rPr>
      </w:pPr>
      <w:r w:rsidRPr="002F7CFA">
        <w:rPr>
          <w:rFonts w:ascii="Times New Roman" w:hAnsi="Times New Roman" w:cs="Times New Roman"/>
          <w:i/>
          <w:sz w:val="27"/>
          <w:szCs w:val="27"/>
        </w:rPr>
        <w:t>Ưu điểm:</w:t>
      </w:r>
    </w:p>
    <w:p w14:paraId="43106C37" w14:textId="561156D0" w:rsidR="009D205F" w:rsidRPr="002F7CFA" w:rsidRDefault="00042680"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Việc thành lập đơn vị pháp chế sẽ tạo điều kiện các hoạt động tương lai của Nhà trường được sát hợp với hệ thống pháp luật, tăng cường </w:t>
      </w:r>
    </w:p>
    <w:p w14:paraId="24BEACD9" w14:textId="252AB97E" w:rsidR="001D7C28" w:rsidRPr="002F7CFA" w:rsidRDefault="001D7C28"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Khuyết điểm:</w:t>
      </w:r>
    </w:p>
    <w:p w14:paraId="723C407A" w14:textId="569A2EAB" w:rsidR="00042680" w:rsidRPr="002F7CFA" w:rsidRDefault="00042680"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Đơn vị pháp chế ra đời chỉ đóng vai trò tạo dựng khung pháp lý cho các hoạt động của Nhà trường trong khi các nội dung cụ thể cần nhiều nguồn lực khác, trong đó kinh tế đóng vai trò rất quan trọng.</w:t>
      </w:r>
    </w:p>
    <w:p w14:paraId="73963235" w14:textId="5A44F80F" w:rsidR="00042680"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3.2 Phương án 2</w:t>
      </w:r>
      <w:r w:rsidR="001D7C28" w:rsidRPr="002F7CFA">
        <w:rPr>
          <w:rFonts w:ascii="Times New Roman" w:hAnsi="Times New Roman" w:cs="Times New Roman"/>
          <w:sz w:val="27"/>
          <w:szCs w:val="27"/>
        </w:rPr>
        <w:t xml:space="preserve">: </w:t>
      </w:r>
      <w:r w:rsidR="00042680" w:rsidRPr="002F7CFA">
        <w:rPr>
          <w:rFonts w:ascii="Times New Roman" w:hAnsi="Times New Roman" w:cs="Times New Roman"/>
          <w:sz w:val="27"/>
          <w:szCs w:val="27"/>
        </w:rPr>
        <w:t xml:space="preserve">Hình thành cơ chế </w:t>
      </w:r>
      <w:r w:rsidR="00042680" w:rsidRPr="002F7CFA">
        <w:rPr>
          <w:rFonts w:ascii="Times New Roman" w:hAnsi="Times New Roman" w:cs="Times New Roman"/>
          <w:bCs/>
          <w:sz w:val="27"/>
          <w:szCs w:val="27"/>
        </w:rPr>
        <w:t>tự chủ về thực hiện nhiệm vụ, tổ chức bộ máy và nhân sự</w:t>
      </w:r>
      <w:r w:rsidR="008D52CE" w:rsidRPr="002F7CFA">
        <w:rPr>
          <w:rFonts w:ascii="Times New Roman" w:hAnsi="Times New Roman" w:cs="Times New Roman"/>
          <w:bCs/>
          <w:sz w:val="27"/>
          <w:szCs w:val="27"/>
        </w:rPr>
        <w:t>, cụ thể là tự chủ tài chính</w:t>
      </w:r>
    </w:p>
    <w:p w14:paraId="5B07144B" w14:textId="28DAE9CF" w:rsidR="008D52CE" w:rsidRPr="002F7CFA" w:rsidRDefault="008D52CE" w:rsidP="00C730A3">
      <w:pPr>
        <w:spacing w:line="336" w:lineRule="auto"/>
        <w:jc w:val="both"/>
        <w:rPr>
          <w:rFonts w:ascii="Times New Roman" w:hAnsi="Times New Roman" w:cs="Times New Roman"/>
          <w:bCs/>
          <w:i/>
          <w:sz w:val="27"/>
          <w:szCs w:val="27"/>
        </w:rPr>
      </w:pPr>
      <w:bookmarkStart w:id="0" w:name="Dieu_5"/>
      <w:bookmarkStart w:id="1" w:name="Dieu_12"/>
      <w:bookmarkEnd w:id="0"/>
      <w:bookmarkEnd w:id="1"/>
      <w:r w:rsidRPr="002F7CFA">
        <w:rPr>
          <w:rFonts w:ascii="Times New Roman" w:hAnsi="Times New Roman" w:cs="Times New Roman"/>
          <w:bCs/>
          <w:i/>
          <w:sz w:val="27"/>
          <w:szCs w:val="27"/>
        </w:rPr>
        <w:t>Tự chủ tài chính đối với đơn vị sự nghiệp công tự bảo đảm chi thường xuyên và chi đầu tư</w:t>
      </w:r>
    </w:p>
    <w:p w14:paraId="45510A97" w14:textId="71486E75"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Nguồn tài chính của đơn vị: Nguồn thu từ hoạt động dịch vụ sự nghiệp công, bao gồm cả nguồn ngân sách nhà nước đặt hàng cung cấp dịch vụ sự nghiệp công theo giá tính đủ chi phí; Nguồn thu phí theo pháp luật về phí, lệ phí được để lại chi theo quy định (phần được để lại chi thường xuyên và chi mua sắm, sửa chữa lớn trang thiết bị, tài sản phục vụ công tác thu phí); Nguồn thu khác theo quy định của pháp luật (nếu có); Nguồn ngân sách nhà nước cấp cho các nhiệm vụ không thường xuyên (nếu có), gồm: Kinh phí thực hiện nhiệm vụ khoa học và công nghệ (đối với đơn vị không phải là tổ chức khoa học công nghệ); kinh phí các chương trình mục tiêu quốc gia; chương trình, dự án, đề án khác; kinh phí đối ứng thực hiện các dự án theo quyết định của cấp có thẩm quyền; vốn đầu tư phát triển; kinh phí mua </w:t>
      </w:r>
      <w:r w:rsidR="008D52CE" w:rsidRPr="002F7CFA">
        <w:rPr>
          <w:rFonts w:ascii="Times New Roman" w:hAnsi="Times New Roman" w:cs="Times New Roman"/>
          <w:bCs/>
          <w:sz w:val="27"/>
          <w:szCs w:val="27"/>
        </w:rPr>
        <w:lastRenderedPageBreak/>
        <w:t>sắm trang thiết bị phục vụ hoạt động sự nghiệp theo dự án được cấp có thẩm quyền phê duyệt; kinh phí thực hiện nhiệm vụ đột xuất được cơ quan có thẩm quyền giao; Nguồn vốn vay, viện trợ, tài trợ theo quy định của pháp luật.</w:t>
      </w:r>
    </w:p>
    <w:p w14:paraId="51100B63" w14:textId="02C26A8E" w:rsidR="008D52CE" w:rsidRPr="002F7CFA" w:rsidRDefault="008D52CE" w:rsidP="00C730A3">
      <w:pPr>
        <w:spacing w:line="336" w:lineRule="auto"/>
        <w:jc w:val="both"/>
        <w:rPr>
          <w:rFonts w:ascii="Times New Roman" w:hAnsi="Times New Roman" w:cs="Times New Roman"/>
          <w:bCs/>
          <w:i/>
          <w:sz w:val="27"/>
          <w:szCs w:val="27"/>
        </w:rPr>
      </w:pPr>
      <w:r w:rsidRPr="002F7CFA">
        <w:rPr>
          <w:rFonts w:ascii="Times New Roman" w:hAnsi="Times New Roman" w:cs="Times New Roman"/>
          <w:bCs/>
          <w:i/>
          <w:sz w:val="27"/>
          <w:szCs w:val="27"/>
        </w:rPr>
        <w:t xml:space="preserve">Sử dụng nguồn tài chính: </w:t>
      </w:r>
    </w:p>
    <w:p w14:paraId="6E2AC385" w14:textId="777E7A5C"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Chi đầu tư từ Quỹ phát triển hoạt động sự nghiệp, nguồn vốn vay và các nguồn tài chính hợp pháp khác. Căn cứ nhu cầu đầu tư và khả năng cân đối các nguồn tài chính, đơn vị chủ động xây dựng danh mục các dự </w:t>
      </w:r>
      <w:proofErr w:type="gramStart"/>
      <w:r w:rsidR="008D52CE" w:rsidRPr="002F7CFA">
        <w:rPr>
          <w:rFonts w:ascii="Times New Roman" w:hAnsi="Times New Roman" w:cs="Times New Roman"/>
          <w:bCs/>
          <w:sz w:val="27"/>
          <w:szCs w:val="27"/>
        </w:rPr>
        <w:t>án</w:t>
      </w:r>
      <w:proofErr w:type="gramEnd"/>
      <w:r w:rsidR="008D52CE" w:rsidRPr="002F7CFA">
        <w:rPr>
          <w:rFonts w:ascii="Times New Roman" w:hAnsi="Times New Roman" w:cs="Times New Roman"/>
          <w:bCs/>
          <w:sz w:val="27"/>
          <w:szCs w:val="27"/>
        </w:rPr>
        <w:t xml:space="preserve"> đầu tư, báo cáo cơ quan có thẩm quyền phê duyệt. Trên cơ sở danh mục dự án đầu tư đã được phê duyệt, đơn vị quyết định dự án đầu tư, bao gồm các nội dung về quy mô, phương án xây dựng, tổng mức vốn, nguồn vốn, phân kỳ thời gian triển khai theo quy định của pháp luật về đầu tư. Đơn vị sự nghiệp công được vay vốn tín dụng ưu đãi của Nhà nước hoặc được hỗ trợ lãi suất cho các dự </w:t>
      </w:r>
      <w:proofErr w:type="gramStart"/>
      <w:r w:rsidR="008D52CE" w:rsidRPr="002F7CFA">
        <w:rPr>
          <w:rFonts w:ascii="Times New Roman" w:hAnsi="Times New Roman" w:cs="Times New Roman"/>
          <w:bCs/>
          <w:sz w:val="27"/>
          <w:szCs w:val="27"/>
        </w:rPr>
        <w:t>án</w:t>
      </w:r>
      <w:proofErr w:type="gramEnd"/>
      <w:r w:rsidR="008D52CE" w:rsidRPr="002F7CFA">
        <w:rPr>
          <w:rFonts w:ascii="Times New Roman" w:hAnsi="Times New Roman" w:cs="Times New Roman"/>
          <w:bCs/>
          <w:sz w:val="27"/>
          <w:szCs w:val="27"/>
        </w:rPr>
        <w:t xml:space="preserve"> đầu tư sử dụng vốn vay của các tổ chức tín dụng theo quy định. Căn cứ yêu cầu phát triển của đơn vị, Nhà nước xem xét bố trí vốn cho các dự án đầu tư đang triển khai, các dự án đầu tư khác theo quyết định của cấp có thẩm quyền.</w:t>
      </w:r>
    </w:p>
    <w:p w14:paraId="6FE336D7" w14:textId="0BBE5BC7"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Chi thường xuyên: Đơn vị được chủ động sử dụng các nguồn tài chính giao tự chủ quy định tại Điểm a, Điểm b (phần được để lại chi thường xuyên) và Điểm c Khoản 1 Điều này để chi thường xuyên. Một số nội dung chi được quy định như sau: (1) Chi tiền lương: Đơn vị chi trả tiền lương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lương ngạch, bậc, chức vụ và các khoản phụ cấp do Nhà nước quy định đối với đơn vị sự nghiệp công. Khi Nhà nước điều chỉnh tiền lương, đơn vị tự bảo đảm tiền lương tăng thêm từ nguồn </w:t>
      </w:r>
      <w:proofErr w:type="gramStart"/>
      <w:r w:rsidR="008D52CE" w:rsidRPr="002F7CFA">
        <w:rPr>
          <w:rFonts w:ascii="Times New Roman" w:hAnsi="Times New Roman" w:cs="Times New Roman"/>
          <w:bCs/>
          <w:sz w:val="27"/>
          <w:szCs w:val="27"/>
        </w:rPr>
        <w:t>thu</w:t>
      </w:r>
      <w:proofErr w:type="gramEnd"/>
      <w:r w:rsidR="008D52CE" w:rsidRPr="002F7CFA">
        <w:rPr>
          <w:rFonts w:ascii="Times New Roman" w:hAnsi="Times New Roman" w:cs="Times New Roman"/>
          <w:bCs/>
          <w:sz w:val="27"/>
          <w:szCs w:val="27"/>
        </w:rPr>
        <w:t xml:space="preserve"> của đơn vị (ngân sách nhà nước không cấp bổ sung). (2) Chi hoạt động chuyên môn, chi quản lý: Đối với các nội dung chi đã có định mức chi theo quy định của cơ quan nhà nước có thẩm quyền: Căn cứ vào khả năng tài chính, đơn vị được quyết định mức chi cao hơn hoặc thấp hơn mức chi do cơ quan nhà nước có thẩm quyền ban hành và quy định trong quy chế chi tiêu nội bộ của đơn vị; Đối với các nội dung chi chưa có định mức chi theo quy định của cơ quan nhà nước có thẩm quyền: Căn cứ tình hình thực tế, đơn vị xây dựng mức chi cho phù hợp theo quy chế chi tiêu nội bộ và phải chịu trách nhiệm về quyết định của mình. Trích khấu hao tài sản cố định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định. Tiền trích khấu hao tài sản hình thành từ nguồn vốn ngân sách nhà nước hoặc có nguồn gốc từ ngân sách được hạch toán vào Quỹ phát triển hoạt động sự nghiệp.</w:t>
      </w:r>
    </w:p>
    <w:p w14:paraId="12DA294B" w14:textId="20D397B1"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lastRenderedPageBreak/>
        <w:t xml:space="preserve">- </w:t>
      </w:r>
      <w:r w:rsidR="008D52CE" w:rsidRPr="002F7CFA">
        <w:rPr>
          <w:rFonts w:ascii="Times New Roman" w:hAnsi="Times New Roman" w:cs="Times New Roman"/>
          <w:bCs/>
          <w:sz w:val="27"/>
          <w:szCs w:val="27"/>
        </w:rPr>
        <w:t>Chi nhiệm vụ không thường xuyên: Đơn vị chi theo quy định của Luật Ngân sách nhà nước và pháp luật hiện hành đối với từng nguồn kinh phí quy định tại Điểm b (phần được để lại chi mua sắm, sửa chữa lớn trang thiết bị, tài sản phục vụ công tác thu phí), Điểm d và Điểm đ Khoản 1 Điều này. Đơn vị sự nghiệp công phải thực hiện đúng các quy định của Nhà nước về mức chi, tiêu chuẩn, định mức sử dụng xe ô tô; tiêu chuẩn, định mức về nhà làm việc; tiêu chuẩn, định mức trang bị điện thoại công vụ tại nhà riêng và điện thoại di động; chế độ công tác phí nước ngoài; chế độ tiếp khách nước ngoài và hội thảo quốc tế ở Việt Nam.</w:t>
      </w:r>
    </w:p>
    <w:p w14:paraId="566EEA40" w14:textId="706F3631" w:rsidR="008D52CE" w:rsidRPr="002F7CFA" w:rsidRDefault="008D52CE" w:rsidP="00C730A3">
      <w:pPr>
        <w:spacing w:line="336" w:lineRule="auto"/>
        <w:jc w:val="both"/>
        <w:rPr>
          <w:rFonts w:ascii="Times New Roman" w:hAnsi="Times New Roman" w:cs="Times New Roman"/>
          <w:bCs/>
          <w:i/>
          <w:sz w:val="27"/>
          <w:szCs w:val="27"/>
        </w:rPr>
      </w:pPr>
      <w:r w:rsidRPr="002F7CFA">
        <w:rPr>
          <w:rFonts w:ascii="Times New Roman" w:hAnsi="Times New Roman" w:cs="Times New Roman"/>
          <w:bCs/>
          <w:i/>
          <w:sz w:val="27"/>
          <w:szCs w:val="27"/>
        </w:rPr>
        <w:t>Phân phối kết quả tài chính trong năm</w:t>
      </w:r>
    </w:p>
    <w:p w14:paraId="5EF0F193" w14:textId="757EEE48"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Hàng năm, sau khi hạch toán đầy đủ các khoản chi phí, nộp thuế và các khoản nộp ngân sách nhà nước khác (nếu có) theo quy định, phần chênh lệch thu lớn hơn chi thường xuyên (nếu có), đơn vị được sử dụng theo trình tự như sau: Trích tối thiểu 25% để lập Quỹ phát triển hoạt động sự nghiệp; Trích lập Quỹ bổ sung thu nhập: Đơn vị được tự quyết định mức trích Quỹ bổ sung thu nhập (không khống chế mức trích); Trích lập Quỹ khen thưởng và Quỹ phúc lợi tối đa không quá 3 tháng tiền lương, tiền công thực hiện trong năm của đơn vị; Trích lập Quỹ khác theo quy định của pháp luật; Phần chênh lệch thu lớn hơn chi còn lại (nếu có) sau khi đã trích lập các quỹ theo quy định được bổ sung vào Quỹ phát triển hoạt động sự nghiệp.</w:t>
      </w:r>
    </w:p>
    <w:p w14:paraId="11862E3C" w14:textId="3EE867F1" w:rsidR="008D52CE" w:rsidRPr="002F7CFA" w:rsidRDefault="002F7CFA"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Sử dụng các Quỹ. Quỹ phát triển hoạt động sự nghiệp: Để đầu tư xây dựng cơ sở vật chất, mua sắm trang thiết bị, phương tiện làm việc; phát triển năng lực hoạt động sự nghiệp; chi áp dụng tiến bộ khoa học kỹ thuật công nghệ; đào tạo nâng cao nghiệp vụ chuyên môn cho người lao động trong đơn vị; góp vốn liên doanh, liên kết với các tổ chức, cá nhân trong và ngoài nước (đối với đơn vị được giao vốn theo quy định) để tổ chức hoạt động dịch vụ phù hợp với chức năng, nhiệm vụ được giao và các khoản chi khác (nếu có). Quỹ bổ sung </w:t>
      </w:r>
      <w:proofErr w:type="gramStart"/>
      <w:r w:rsidR="008D52CE" w:rsidRPr="002F7CFA">
        <w:rPr>
          <w:rFonts w:ascii="Times New Roman" w:hAnsi="Times New Roman" w:cs="Times New Roman"/>
          <w:bCs/>
          <w:sz w:val="27"/>
          <w:szCs w:val="27"/>
        </w:rPr>
        <w:t>thu</w:t>
      </w:r>
      <w:proofErr w:type="gramEnd"/>
      <w:r w:rsidR="008D52CE" w:rsidRPr="002F7CFA">
        <w:rPr>
          <w:rFonts w:ascii="Times New Roman" w:hAnsi="Times New Roman" w:cs="Times New Roman"/>
          <w:bCs/>
          <w:sz w:val="27"/>
          <w:szCs w:val="27"/>
        </w:rPr>
        <w:t xml:space="preserve"> nhập: Để chi bổ sung thu nhập cho người lao động trong năm và dự phòng chi bổ sung thu nhập cho người lao động năm sau trong trường hợp nguồn thu nhập bị giảm. Việc chi bổ sung </w:t>
      </w:r>
      <w:proofErr w:type="gramStart"/>
      <w:r w:rsidR="008D52CE" w:rsidRPr="002F7CFA">
        <w:rPr>
          <w:rFonts w:ascii="Times New Roman" w:hAnsi="Times New Roman" w:cs="Times New Roman"/>
          <w:bCs/>
          <w:sz w:val="27"/>
          <w:szCs w:val="27"/>
        </w:rPr>
        <w:t>thu</w:t>
      </w:r>
      <w:proofErr w:type="gramEnd"/>
      <w:r w:rsidR="008D52CE" w:rsidRPr="002F7CFA">
        <w:rPr>
          <w:rFonts w:ascii="Times New Roman" w:hAnsi="Times New Roman" w:cs="Times New Roman"/>
          <w:bCs/>
          <w:sz w:val="27"/>
          <w:szCs w:val="27"/>
        </w:rPr>
        <w:t xml:space="preserve"> nhập cho người lao động trong đơn vị được thực hiện theo nguyên tắc gắn với số lượng, chất lượng và hiệu quả công tác. Hệ số thu nhập tăng thêm của chức danh lãnh đạo đơn vị sự nghiệp công tối đa không quá 2 lần hệ số thu nhập tăng thêm bình quân thực hiện của người lao động trong đơn vị. Quỹ khen thưởng: </w:t>
      </w:r>
      <w:r w:rsidR="008D52CE" w:rsidRPr="002F7CFA">
        <w:rPr>
          <w:rFonts w:ascii="Times New Roman" w:hAnsi="Times New Roman" w:cs="Times New Roman"/>
          <w:bCs/>
          <w:sz w:val="27"/>
          <w:szCs w:val="27"/>
        </w:rPr>
        <w:lastRenderedPageBreak/>
        <w:t xml:space="preserve">Để thưởng định kỳ, đột xuất cho tập thể, cá nhân trong và ngoài đơn vị (ngoài chế độ khen thưởng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định của Luật Thi đua khen thưởng) theo hiệu quả công việc và thành tích đóng góp vào hoạt động của đơn vị. Mức thưởng do thủ trưởng đơn vị quyết định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chế chi tiêu nội bộ của đơn vị. Quỹ phúc lợi: Để xây dựng, sửa chữa các công trình phúc lợi; chi cho các hoạt động phúc lợi tập thể của người </w:t>
      </w:r>
      <w:proofErr w:type="gramStart"/>
      <w:r w:rsidR="008D52CE" w:rsidRPr="002F7CFA">
        <w:rPr>
          <w:rFonts w:ascii="Times New Roman" w:hAnsi="Times New Roman" w:cs="Times New Roman"/>
          <w:bCs/>
          <w:sz w:val="27"/>
          <w:szCs w:val="27"/>
        </w:rPr>
        <w:t>lao</w:t>
      </w:r>
      <w:proofErr w:type="gramEnd"/>
      <w:r w:rsidR="008D52CE" w:rsidRPr="002F7CFA">
        <w:rPr>
          <w:rFonts w:ascii="Times New Roman" w:hAnsi="Times New Roman" w:cs="Times New Roman"/>
          <w:bCs/>
          <w:sz w:val="27"/>
          <w:szCs w:val="27"/>
        </w:rPr>
        <w:t xml:space="preserve"> động trong đơn vị; trợ cấp khó khăn đột xuất cho người lao động, kể cả trường hợp nghỉ hưu, nghỉ mất sức; chi thêm cho người lao động thực hiện tinh giản biên chế.</w:t>
      </w:r>
    </w:p>
    <w:p w14:paraId="63A876D2" w14:textId="05FF4DBA"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Mức trích cụ thể của các quỹ quy định tại Điểm a Khoản này và việc sử dụng các quỹ do thủ trưởng đơn vị quyết định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chế chi tiêu nội bộ và phải công khai trong đơn vị.</w:t>
      </w:r>
    </w:p>
    <w:p w14:paraId="50E32F44" w14:textId="544569F9" w:rsidR="008D52CE" w:rsidRPr="00EB0D54" w:rsidRDefault="008D52CE" w:rsidP="00C730A3">
      <w:pPr>
        <w:spacing w:line="336" w:lineRule="auto"/>
        <w:jc w:val="both"/>
        <w:rPr>
          <w:rFonts w:ascii="Times New Roman" w:hAnsi="Times New Roman" w:cs="Times New Roman"/>
          <w:bCs/>
          <w:i/>
          <w:sz w:val="27"/>
          <w:szCs w:val="27"/>
        </w:rPr>
      </w:pPr>
      <w:bookmarkStart w:id="2" w:name="Dieu_13"/>
      <w:bookmarkEnd w:id="2"/>
      <w:r w:rsidRPr="00EB0D54">
        <w:rPr>
          <w:rFonts w:ascii="Times New Roman" w:hAnsi="Times New Roman" w:cs="Times New Roman"/>
          <w:bCs/>
          <w:i/>
          <w:sz w:val="27"/>
          <w:szCs w:val="27"/>
        </w:rPr>
        <w:t>Tự chủ tài chính đối với đơn vị sự nghiệp công tự bảo đảm chi thường xuyên</w:t>
      </w:r>
    </w:p>
    <w:p w14:paraId="4AA0DF3E" w14:textId="2E558B00"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Nguồn tài chính của đơn vị: Nguồn thu từ hoạt động dịch vụ sự nghiệp công, bao gồm cả nguồn ngân sách nhà nước đặt hàng cung cấp dịch vụ sự nghiệp công theo giá tính đủ chi phí; Nguồn thu phí theo pháp luật về phí, lệ phí được để lại chi theo quy định (phần được để lại chi hoạt động thường xuyên và chi mua sắm, sửa chữa lớn trang thiết bị, tài sản phục vụ công tác thu phí); Nguồn thu khác theo quy định của pháp luật (nếu có); Nguồn ngân sách nhà nước cấp cho các nhiệm vụ không thường xuyên quy định tại Điểm d Khoản 1 Điều 12 Nghị định này (nếu có); Nguồn vốn vay, viện trợ, tài trợ theo quy định của pháp luật.</w:t>
      </w:r>
    </w:p>
    <w:p w14:paraId="393F3BEC" w14:textId="0E83108A"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Sử dụng nguồn tài chính: Chi thường xuyên: Đơn vị được chủ động sử dụng các nguồn tài chính giao tự chủ quy định tại Điểm a, Điểm b (phần được để lại chi hoạt động thường xuyên) và Điểm c Khoản 1 Điều này để chi thường xuyên theo quy định tại Điểm b Khoản 2 Điều 12 Nghị định này; Chi nhiệm vụ không thường xuyên: Đơn vị chi theo quy định của Luật Ngân sách nhà nước và pháp luật hiện hành đối với từng nguồn kinh phí quy định tại Điểm b (phần được để lại chi mua sắm, sửa chữa lớn trang thiết bị, tài sản phục vụ công tác thu phí), Điểm d và Điểm đ Khoản 1 Điều này. Phân phối kết quả tài chính trong năm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định tại Khoản 3 Điều 12. Riêng trích lập Quỹ bổ sung </w:t>
      </w:r>
      <w:proofErr w:type="gramStart"/>
      <w:r w:rsidR="008D52CE" w:rsidRPr="002F7CFA">
        <w:rPr>
          <w:rFonts w:ascii="Times New Roman" w:hAnsi="Times New Roman" w:cs="Times New Roman"/>
          <w:bCs/>
          <w:sz w:val="27"/>
          <w:szCs w:val="27"/>
        </w:rPr>
        <w:t>thu</w:t>
      </w:r>
      <w:proofErr w:type="gramEnd"/>
      <w:r w:rsidR="008D52CE" w:rsidRPr="002F7CFA">
        <w:rPr>
          <w:rFonts w:ascii="Times New Roman" w:hAnsi="Times New Roman" w:cs="Times New Roman"/>
          <w:bCs/>
          <w:sz w:val="27"/>
          <w:szCs w:val="27"/>
        </w:rPr>
        <w:t xml:space="preserve"> nhập tối đa không quá 3 lần quỹ tiền lương ngạch, bậc, chức vụ và các khoản phụ cấp lương do Nhà nước quy định.</w:t>
      </w:r>
    </w:p>
    <w:p w14:paraId="49EA939E" w14:textId="11BC59C5" w:rsidR="008D52CE" w:rsidRPr="002F7CFA" w:rsidRDefault="008D52CE" w:rsidP="00C730A3">
      <w:pPr>
        <w:spacing w:line="336" w:lineRule="auto"/>
        <w:jc w:val="both"/>
        <w:rPr>
          <w:rFonts w:ascii="Times New Roman" w:hAnsi="Times New Roman" w:cs="Times New Roman"/>
          <w:bCs/>
          <w:sz w:val="27"/>
          <w:szCs w:val="27"/>
        </w:rPr>
      </w:pPr>
      <w:bookmarkStart w:id="3" w:name="Dieu_14"/>
      <w:bookmarkEnd w:id="3"/>
      <w:r w:rsidRPr="002F7CFA">
        <w:rPr>
          <w:rFonts w:ascii="Times New Roman" w:hAnsi="Times New Roman" w:cs="Times New Roman"/>
          <w:bCs/>
          <w:sz w:val="27"/>
          <w:szCs w:val="27"/>
        </w:rPr>
        <w:lastRenderedPageBreak/>
        <w:t xml:space="preserve">- Tự chủ tài chính đối với đơn vị sự nghiệp công tự bảo đảm một phần chi thường xuyên (do giá, phí dịch vụ sự nghiệp công chưa kết cấu đủ chi phí, được Nhà nước đặt hàng, giao nhiệm vụ cung cấp dịch vụ sự nghiệp công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giá, phí chưa tính đủ chi phí)</w:t>
      </w:r>
    </w:p>
    <w:p w14:paraId="79994EEB" w14:textId="551E25EB"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Nguồn tài chính của đơn vị: Nguồn thu từ hoạt động dịch vụ sự nghiệp công;  Nguồn thu phí theo pháp luật về phí, lệ phí được để lại chi theo quy định (phần được để lại chi hoạt động thường xuyên và chi mua sắm, sửa chữa lớn trang thiết bị, tài sản phục vụ công tác thu phí); Nguồn ngân sách nhà nước hỗ trợ phần chi phí chưa kết cấu trong giá, phí dịch vụ sự nghiệp công; Nguồn thu khác theo quy định của pháp luật (nếu có); Ngân sách nhà nước cấp kinh phí thực hiện các nhiệm vụ không thường xuyên quy định tại Điểm d Khoản 1 Điều 12 Nghị định này (nếu có); Nguồn viện trợ, tài trợ theo quy định của pháp luật.</w:t>
      </w:r>
    </w:p>
    <w:p w14:paraId="1B828808" w14:textId="7FB22367"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 xml:space="preserve">Sử dụng nguồn tài chính của đơn vị:  Chi thường xuyên: Đơn vị được chủ động sử dụng các nguồn tài chính giao tự chủ quy định tại các Điểm a, Điểm b (phần được để lại chi hoạt động thường xuyên), Điểm c và Điểm d Khoản 1 Điều này để chi thường xuyên. Một số nội dung chi được quy định như sau: - Chi tiền lương: Đơn vị chi trả tiền lương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lương ngạch, bậc, chức vụ và các khoản phụ cấp do Nhà nước quy định đối với đơn vị sự nghiệp công. Khi Nhà nước điều chỉnh tiền lương, đơn vị tự bảo đảm tiền lương tăng thêm từ các nguồn theo quy định; trường hợp còn thiếu, ngân sách nhà nước cấp bổ sung; - Chi hoạt động chuyên môn, chi quản lý: Căn cứ vào nhiệm vụ được giao và khả năng nguồn tài chính, đơn vị được quyết định mức chi hoạt động chuyên môn, chi quản lý, nhưng tối đa không vượt quá mức chi do cơ quan nhà nước có thẩm quyền quy định; Chi nhiệm vụ không thường xuyên: Đơn vị chi theo quy định của Luật Ngân sách nhà nước và pháp luật hiện hành đối với từng nguồn kinh phí quy định tại Điểm b (phần được để lại chi mua sắm, sửa chữa lớn trang thiết bị, tài sản phục vụ công tác thu phí), Điểm đ và Điểm e Khoản 1 Điều này.</w:t>
      </w:r>
    </w:p>
    <w:p w14:paraId="59B3C004" w14:textId="00A19386"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 xml:space="preserve">Phân phối kết quả tài chính trong năm: Hàng năm, sau khi hạch toán đầy đủ các khoản chi phí, nộp thuế và các khoản nộp ngân sách nhà nước khác (nếu có) theo quy định, phần chênh lệch thu lớn hơn chi hoạt động thường xuyên (nếu có), đơn vị được sử dụng theo trình tự như sau: Trích tối thiểu 15% để lập Quỹ phát triển hoạt động sự nghiệp; Trích lập Quỹ bổ sung thu nhập tối đa không quá 2 lần quỹ </w:t>
      </w:r>
      <w:r w:rsidR="008D52CE" w:rsidRPr="002F7CFA">
        <w:rPr>
          <w:rFonts w:ascii="Times New Roman" w:hAnsi="Times New Roman" w:cs="Times New Roman"/>
          <w:bCs/>
          <w:sz w:val="27"/>
          <w:szCs w:val="27"/>
        </w:rPr>
        <w:lastRenderedPageBreak/>
        <w:t xml:space="preserve">tiền lương ngạch, bậc, chức vụ và các khoản phụ cấp lương do Nhà nước quy định; Trích lập Quỹ khen thưởng và Quỹ phúc lợi tối đa không quá 2 tháng tiền lương, tiền công thực hiện trong năm của đơn vị; Trích lập Quỹ khác theo quy định của pháp luật; Phần chênh lệch thu lớn hơn chi còn lại (nếu có) sau khi đã trích lập các quỹ theo quy định được bổ sung vào Quỹ phát triển hoạt động sự nghiệp. Trường hợp chênh lệch thu lớn hơn chi bằng hoặc nhỏ hơn một lần quỹ tiền lương ngạch, bậc, chức vụ thực hiện trong năm, đơn vị được quyết định sử dụng theo trình tự sau: Trích lập Quỹ bổ sung thu nhập; Quỹ phát triển hoạt động sự nghiệp, Quỹ khen thưởng, Quỹ phúc lợi, Quỹ khác (nếu có). Mức trích cụ thể của các quỹ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định tại Điểm a Khoản này và việc sử dụng các quỹ do thủ trưởng đơn vị quyết định theo quy chế chi tiêu nội bộ và phải công khai trong đơn vị. Nội dung chi từ các quỹ thực hiện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quy định tại Điểm b Khoản 3 Điều 12 Nghị định này.</w:t>
      </w:r>
    </w:p>
    <w:p w14:paraId="5FDA32EA" w14:textId="424BAE34" w:rsidR="008D52CE" w:rsidRPr="002F7CFA" w:rsidRDefault="00735375" w:rsidP="00C730A3">
      <w:pPr>
        <w:spacing w:line="336" w:lineRule="auto"/>
        <w:jc w:val="both"/>
        <w:rPr>
          <w:rFonts w:ascii="Times New Roman" w:hAnsi="Times New Roman" w:cs="Times New Roman"/>
          <w:bCs/>
          <w:sz w:val="27"/>
          <w:szCs w:val="27"/>
        </w:rPr>
      </w:pPr>
      <w:bookmarkStart w:id="4" w:name="Dieu_15"/>
      <w:bookmarkEnd w:id="4"/>
      <w:r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Tự chủ tài chính đối với đơn vị sự nghiệp công do Nhà nước bảo đảm chi thường xuyên (</w:t>
      </w:r>
      <w:proofErr w:type="gramStart"/>
      <w:r w:rsidR="008D52CE" w:rsidRPr="002F7CFA">
        <w:rPr>
          <w:rFonts w:ascii="Times New Roman" w:hAnsi="Times New Roman" w:cs="Times New Roman"/>
          <w:bCs/>
          <w:sz w:val="27"/>
          <w:szCs w:val="27"/>
        </w:rPr>
        <w:t>theo</w:t>
      </w:r>
      <w:proofErr w:type="gramEnd"/>
      <w:r w:rsidR="008D52CE" w:rsidRPr="002F7CFA">
        <w:rPr>
          <w:rFonts w:ascii="Times New Roman" w:hAnsi="Times New Roman" w:cs="Times New Roman"/>
          <w:bCs/>
          <w:sz w:val="27"/>
          <w:szCs w:val="27"/>
        </w:rPr>
        <w:t xml:space="preserve"> chức năng, nhiệm vụ được cấp có thẩm quyền giao, không có nguồn thu hoặc nguồn thu thấp)</w:t>
      </w:r>
    </w:p>
    <w:p w14:paraId="560336E8" w14:textId="51A5256A" w:rsidR="008D52CE" w:rsidRPr="002F7CFA" w:rsidRDefault="00EB0D54" w:rsidP="00C730A3">
      <w:pPr>
        <w:spacing w:line="336" w:lineRule="auto"/>
        <w:jc w:val="both"/>
        <w:rPr>
          <w:rFonts w:ascii="Times New Roman" w:hAnsi="Times New Roman" w:cs="Times New Roman"/>
          <w:bCs/>
          <w:sz w:val="27"/>
          <w:szCs w:val="27"/>
        </w:rPr>
      </w:pPr>
      <w:r>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Nguồn tài chính của đơn vị</w:t>
      </w:r>
      <w:r w:rsidR="00735375"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Ngân sách nhà nước cấp chi thường xuyên trên cơ sở số lượng người làm việc và định mức phân bổ dự toán được cấp có thẩm quyền phê duyệt;</w:t>
      </w:r>
      <w:r w:rsidR="00735375"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Nguồn thu khác (nếu có);</w:t>
      </w:r>
      <w:r w:rsidR="00735375"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Ngân sách nhà nước cấp kinh phí thực hiện các nhiệm vụ không thường xuyên quy định tại Điểm d Khoản 1 Điều 12 Nghị định này (nếu có);</w:t>
      </w:r>
      <w:r w:rsidR="00735375"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Nguồn viện trợ, tài trợ theo quy định của pháp luật.</w:t>
      </w:r>
    </w:p>
    <w:p w14:paraId="1959C892" w14:textId="0B8950ED"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Nội dung chi của đơn vị</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Chi thường xuyên: Đơn vị được sử dụng nguồn tài chính giao tự chủ quy định tại các Điểm a, Điểm b Khoản 1 Điều này để chi thường xuyên. Một số nội dung chi được quy định như sau:</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 xml:space="preserve">- Chi tiền lương: Đơn vị chi trả tiền lương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lương ngạch, bậc, chức vụ và các khoản phụ cấp do Nhà nước quy định đối với đơn vị sự nghiệp công. Khi Nhà nước điều chỉnh tiền lương, đơn vị tự bảo đảm tiền lương tăng thêm từ các nguồn theo quy định, bao gồm cả nguồn ngân sách nhà nước cấp bổ sung;</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Chi hoạt động chuyên môn, chi quản lý: Đơn vị được quyết định mức chi nhưng tối đa không vượt quá mức chi do cơ quan nhà nước có thẩm quyền quy đị</w:t>
      </w:r>
      <w:r w:rsidR="00735375" w:rsidRPr="002F7CFA">
        <w:rPr>
          <w:rFonts w:ascii="Times New Roman" w:hAnsi="Times New Roman" w:cs="Times New Roman"/>
          <w:bCs/>
          <w:sz w:val="27"/>
          <w:szCs w:val="27"/>
        </w:rPr>
        <w:t xml:space="preserve">nh; </w:t>
      </w:r>
      <w:r w:rsidRPr="002F7CFA">
        <w:rPr>
          <w:rFonts w:ascii="Times New Roman" w:hAnsi="Times New Roman" w:cs="Times New Roman"/>
          <w:bCs/>
          <w:sz w:val="27"/>
          <w:szCs w:val="27"/>
        </w:rPr>
        <w:t>Chi nhiệm vụ không thường xuyên: Đơn vị chi theo quy định của Luật Ngân sách nhà nước và pháp luật hiện hành đối với từng nguồn kinh phí quy định tại Điểm c và Điểm d Khoản 1 Điều này.</w:t>
      </w:r>
    </w:p>
    <w:p w14:paraId="3966071A" w14:textId="06F3538E"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lastRenderedPageBreak/>
        <w:t>Sử dụng kinh phí tiết kiệm chi thường xuyên</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Hàng năm, sau khi trang trải các khoản chi phí, nộp thuế và các khoản nộp ngân sách nhà nước khác (nếu có) theo quy định, phần kinh phí tiết kiệm chi thường xuyên (nếu có), đơn vị được sử dụng theo trình tự như sau:</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Trích tối thiểu 5% để lập Quỹ phát triển hoạt động sự nghiệp;</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Trích lập Quỹ bổ sung thu nhập tối đa không quá 01 lần quỹ tiền lương ngạch, bậc, chức vụ và các khoản phụ cấp lương do Nhà nước quy định;</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Trích lập Quỹ khen thưởng và Quỹ phúc lợi tối đa không quá 01 tháng tiền lương, tiền công thực hiện trong năm của đơn vị;</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Trích lập Quỹ khác theo quy định của pháp luật;</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Trường hợp chênh lệch thu lớn hơn chi bằng hoặc nhỏ hơn một lần quỹ tiền lương ngạch, bậc, chức vụ thực hiện trong năm, đơn vị được quyết định mức trích vào các quỹ cho phù hợp theo quy chế chi tiêu nội bộ của đơn vị</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 xml:space="preserve">Mức trích cụ thể của các quỹ theo quy định tại Điểm a Khoản này và việc sử dụng các quỹ do thủ trưởng đơn vị quyết định theo quy chế chi tiêu nội bộ và phải công khai trong đơn vị. Nội dung chi từ các quỹ thực hiện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quy định tại Điểm b Khoản 3 Điều 12 Nghị định này.</w:t>
      </w:r>
    </w:p>
    <w:p w14:paraId="09DE5464" w14:textId="77777777" w:rsidR="00735375" w:rsidRPr="002F7CFA" w:rsidRDefault="00735375" w:rsidP="00C730A3">
      <w:pPr>
        <w:spacing w:line="336" w:lineRule="auto"/>
        <w:jc w:val="both"/>
        <w:rPr>
          <w:rFonts w:ascii="Times New Roman" w:hAnsi="Times New Roman" w:cs="Times New Roman"/>
          <w:bCs/>
          <w:sz w:val="27"/>
          <w:szCs w:val="27"/>
        </w:rPr>
      </w:pPr>
      <w:bookmarkStart w:id="5" w:name="Dieu_16"/>
      <w:bookmarkEnd w:id="5"/>
      <w:r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Tự chủ trong giao dịch tài chính</w:t>
      </w:r>
      <w:r w:rsidRPr="002F7CFA">
        <w:rPr>
          <w:rFonts w:ascii="Times New Roman" w:hAnsi="Times New Roman" w:cs="Times New Roman"/>
          <w:bCs/>
          <w:sz w:val="27"/>
          <w:szCs w:val="27"/>
        </w:rPr>
        <w:t xml:space="preserve"> </w:t>
      </w:r>
    </w:p>
    <w:p w14:paraId="7761D0FA" w14:textId="7AEE0FA6"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Mở tài khoản giao dịch</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 xml:space="preserve">Đơn vị sự nghiệp công được mở tài khoản tiền gửi tại Ngân hàng thương mại hoặc Kho bạc Nhà nước để phản ánh các khoản </w:t>
      </w:r>
      <w:proofErr w:type="gramStart"/>
      <w:r w:rsidRPr="002F7CFA">
        <w:rPr>
          <w:rFonts w:ascii="Times New Roman" w:hAnsi="Times New Roman" w:cs="Times New Roman"/>
          <w:bCs/>
          <w:sz w:val="27"/>
          <w:szCs w:val="27"/>
        </w:rPr>
        <w:t>thu</w:t>
      </w:r>
      <w:proofErr w:type="gramEnd"/>
      <w:r w:rsidRPr="002F7CFA">
        <w:rPr>
          <w:rFonts w:ascii="Times New Roman" w:hAnsi="Times New Roman" w:cs="Times New Roman"/>
          <w:bCs/>
          <w:sz w:val="27"/>
          <w:szCs w:val="27"/>
        </w:rPr>
        <w:t>, chi hoạt động dịch vụ sự nghiệp công không sử dụng ngân sách nhà nước. Lãi tiền gửi là nguồn thu của đơn vị và được bổ sung vào Quỹ phát triển hoạt động sự nghiệp hoặc bổ sung vào quỹ khác theo quy định của pháp luật, không được bổ sung vào Quỹ bổ sung thu nhập;</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Các khoản kinh phí thuộc ngân sách nhà nước, các khoản thu dịch vụ sự nghiệp công sử dụng ngân sách nhà nước, các khoản thu phí theo pháp luật về phí, lệ phí, đơn vị mở tài khoản tại Kho bạc Nhà nước để phản ánh.</w:t>
      </w:r>
    </w:p>
    <w:p w14:paraId="1BBCCAB0" w14:textId="305C3757"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Vay vốn, huy động vốn</w:t>
      </w:r>
      <w:r w:rsidR="00735375" w:rsidRPr="002F7CFA">
        <w:rPr>
          <w:rFonts w:ascii="Times New Roman" w:hAnsi="Times New Roman" w:cs="Times New Roman"/>
          <w:bCs/>
          <w:sz w:val="27"/>
          <w:szCs w:val="27"/>
        </w:rPr>
        <w:t xml:space="preserve">: </w:t>
      </w:r>
      <w:r w:rsidRPr="002F7CFA">
        <w:rPr>
          <w:rFonts w:ascii="Times New Roman" w:hAnsi="Times New Roman" w:cs="Times New Roman"/>
          <w:bCs/>
          <w:sz w:val="27"/>
          <w:szCs w:val="27"/>
        </w:rPr>
        <w:t xml:space="preserve">Đơn vị sự nghiệp công có hoạt động dịch vụ được vay vốn của các tổ chức tín dụng, huy động vốn của cán bộ, viên chức trong đơn vị để đầu tư mở rộng và nâng cao chất lượng hoạt động sự nghiệp, tổ chức hoạt động dịch vụ phù hợp với chức năng, nhiệm vụ. Riêng các đơn vị sự nghiệp công tự bảo đảm chi thường xuyên và chi đầu tư được vay vốn, huy động vốn để đầu tư, xây dựng cơ sở vật chất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quy định tại Điểm a Khoản 2 Điều 12 Nghị định này. Khi thực hiện vay vốn, huy động vốn, đơn vị sự nghiệp công phải có phương án tài </w:t>
      </w:r>
      <w:r w:rsidRPr="002F7CFA">
        <w:rPr>
          <w:rFonts w:ascii="Times New Roman" w:hAnsi="Times New Roman" w:cs="Times New Roman"/>
          <w:bCs/>
          <w:sz w:val="27"/>
          <w:szCs w:val="27"/>
        </w:rPr>
        <w:lastRenderedPageBreak/>
        <w:t>chính khả thi, tự chịu trách nhiệm trả nợ vay, lãi vay theo quy định; chịu trách nhiệm trước pháp luật về hiệu quả của việc vay vốn, huy động vốn.</w:t>
      </w:r>
    </w:p>
    <w:p w14:paraId="34B88D17" w14:textId="51541692" w:rsidR="008D52CE" w:rsidRPr="002F7CFA" w:rsidRDefault="00735375" w:rsidP="00C730A3">
      <w:pPr>
        <w:spacing w:line="336" w:lineRule="auto"/>
        <w:jc w:val="both"/>
        <w:rPr>
          <w:rFonts w:ascii="Times New Roman" w:hAnsi="Times New Roman" w:cs="Times New Roman"/>
          <w:bCs/>
          <w:sz w:val="27"/>
          <w:szCs w:val="27"/>
        </w:rPr>
      </w:pPr>
      <w:bookmarkStart w:id="6" w:name="Dieu_17"/>
      <w:bookmarkEnd w:id="6"/>
      <w:r w:rsidRPr="002F7CFA">
        <w:rPr>
          <w:rFonts w:ascii="Times New Roman" w:hAnsi="Times New Roman" w:cs="Times New Roman"/>
          <w:bCs/>
          <w:sz w:val="27"/>
          <w:szCs w:val="27"/>
        </w:rPr>
        <w:t xml:space="preserve">- </w:t>
      </w:r>
      <w:r w:rsidR="008D52CE" w:rsidRPr="002F7CFA">
        <w:rPr>
          <w:rFonts w:ascii="Times New Roman" w:hAnsi="Times New Roman" w:cs="Times New Roman"/>
          <w:bCs/>
          <w:sz w:val="27"/>
          <w:szCs w:val="27"/>
        </w:rPr>
        <w:t>Nghĩa vụ tài chính, quản lý tài sản Nhà nước và quy chế chi tiêu nội bộ của đơn vị sự nghiệp công</w:t>
      </w:r>
    </w:p>
    <w:p w14:paraId="27098C51" w14:textId="21F2B236"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 xml:space="preserve">Đơn vị sự nghiệp công có hoạt động dịch vụ thực hiện đăng ký, kê khai, nộp đủ thuế và các khoản </w:t>
      </w:r>
      <w:proofErr w:type="gramStart"/>
      <w:r w:rsidRPr="002F7CFA">
        <w:rPr>
          <w:rFonts w:ascii="Times New Roman" w:hAnsi="Times New Roman" w:cs="Times New Roman"/>
          <w:bCs/>
          <w:sz w:val="27"/>
          <w:szCs w:val="27"/>
        </w:rPr>
        <w:t>thu</w:t>
      </w:r>
      <w:proofErr w:type="gramEnd"/>
      <w:r w:rsidRPr="002F7CFA">
        <w:rPr>
          <w:rFonts w:ascii="Times New Roman" w:hAnsi="Times New Roman" w:cs="Times New Roman"/>
          <w:bCs/>
          <w:sz w:val="27"/>
          <w:szCs w:val="27"/>
        </w:rPr>
        <w:t xml:space="preserve"> ngân sách khác (nếu có) theo quy định của pháp luật.</w:t>
      </w:r>
    </w:p>
    <w:p w14:paraId="3458B48D" w14:textId="76AB8CEB"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 xml:space="preserve">Đơn vị sự nghiệp công có trách nhiệm quản lý, sử dụng tài sản nhà nước </w:t>
      </w:r>
      <w:proofErr w:type="gramStart"/>
      <w:r w:rsidRPr="002F7CFA">
        <w:rPr>
          <w:rFonts w:ascii="Times New Roman" w:hAnsi="Times New Roman" w:cs="Times New Roman"/>
          <w:bCs/>
          <w:sz w:val="27"/>
          <w:szCs w:val="27"/>
        </w:rPr>
        <w:t>theo</w:t>
      </w:r>
      <w:proofErr w:type="gramEnd"/>
      <w:r w:rsidRPr="002F7CFA">
        <w:rPr>
          <w:rFonts w:ascii="Times New Roman" w:hAnsi="Times New Roman" w:cs="Times New Roman"/>
          <w:bCs/>
          <w:sz w:val="27"/>
          <w:szCs w:val="27"/>
        </w:rPr>
        <w:t xml:space="preserve"> quy định của pháp luật về quản lý, sử dụng tài sản nhà nước.</w:t>
      </w:r>
    </w:p>
    <w:p w14:paraId="4A1356BF" w14:textId="2E4A0244"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Đơn vị sự nghiệp công có trách nhiệm xây dựng và ban hành Quy chế chi tiêu nội bộ, gửi cơ quan quản lý cấp trên. Trong thời hạn 15 ngày kể từ ngày nhận được Quy chế, trường hợp Quy chế có quy định không phù hợp với quy định của Nhà nước, cơ quan quản lý cấp trên có ý kiến bằng văn bản yêu cầu đơn vị điều chỉnh lại cho phù hợp.</w:t>
      </w:r>
    </w:p>
    <w:p w14:paraId="62F3A8D6" w14:textId="77777777" w:rsidR="008D52CE" w:rsidRPr="002F7CFA" w:rsidRDefault="008D52CE" w:rsidP="00C730A3">
      <w:pPr>
        <w:spacing w:line="336" w:lineRule="auto"/>
        <w:jc w:val="both"/>
        <w:rPr>
          <w:rFonts w:ascii="Times New Roman" w:hAnsi="Times New Roman" w:cs="Times New Roman"/>
          <w:bCs/>
          <w:sz w:val="27"/>
          <w:szCs w:val="27"/>
        </w:rPr>
      </w:pPr>
      <w:r w:rsidRPr="002F7CFA">
        <w:rPr>
          <w:rFonts w:ascii="Times New Roman" w:hAnsi="Times New Roman" w:cs="Times New Roman"/>
          <w:bCs/>
          <w:sz w:val="27"/>
          <w:szCs w:val="27"/>
        </w:rPr>
        <w:t>Sau thời hạn nêu trên, nếu cơ quan quản lý cấp trên không có ý kiến, đơn vị triển khai thực hiện theo Quy chế, đồng thời gửi cơ quan tài chính cùng cấp để theo dõi, giám sát thực hiện, Kho bạc Nhà nước nơi đơn vị mở tài khoản giao dịch để làm căn cứ kiểm soát chi.</w:t>
      </w:r>
    </w:p>
    <w:p w14:paraId="731AD5EF" w14:textId="70ABEDF1" w:rsidR="001D7C28" w:rsidRPr="002F7CFA" w:rsidRDefault="001D7C28" w:rsidP="00C730A3">
      <w:pPr>
        <w:spacing w:line="336" w:lineRule="auto"/>
        <w:jc w:val="both"/>
        <w:rPr>
          <w:rFonts w:ascii="Times New Roman" w:hAnsi="Times New Roman" w:cs="Times New Roman"/>
          <w:i/>
          <w:sz w:val="27"/>
          <w:szCs w:val="27"/>
        </w:rPr>
      </w:pPr>
      <w:r w:rsidRPr="002F7CFA">
        <w:rPr>
          <w:rFonts w:ascii="Times New Roman" w:hAnsi="Times New Roman" w:cs="Times New Roman"/>
          <w:i/>
          <w:sz w:val="27"/>
          <w:szCs w:val="27"/>
        </w:rPr>
        <w:t>Ưu điểm:</w:t>
      </w:r>
    </w:p>
    <w:p w14:paraId="5F5989EB" w14:textId="06CAA7F1" w:rsidR="002F7CFA" w:rsidRPr="002F7CFA" w:rsidRDefault="002F7CFA"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Việc tạo dựng nền tảng tài chính làm tiền đề cho sự phát triển mạnh mẽ của Nhà trường</w:t>
      </w:r>
    </w:p>
    <w:p w14:paraId="38FBCE39" w14:textId="4EEB8F54" w:rsidR="001D7C28" w:rsidRPr="002F7CFA" w:rsidRDefault="001D7C28" w:rsidP="00C730A3">
      <w:pPr>
        <w:spacing w:line="336" w:lineRule="auto"/>
        <w:jc w:val="both"/>
        <w:rPr>
          <w:rFonts w:ascii="Times New Roman" w:hAnsi="Times New Roman" w:cs="Times New Roman"/>
          <w:i/>
          <w:sz w:val="27"/>
          <w:szCs w:val="27"/>
        </w:rPr>
      </w:pPr>
      <w:r w:rsidRPr="002F7CFA">
        <w:rPr>
          <w:rFonts w:ascii="Times New Roman" w:hAnsi="Times New Roman" w:cs="Times New Roman"/>
          <w:i/>
          <w:sz w:val="27"/>
          <w:szCs w:val="27"/>
        </w:rPr>
        <w:t>Khuyết điểm</w:t>
      </w:r>
    </w:p>
    <w:p w14:paraId="27997309" w14:textId="3225D6BD" w:rsidR="002F7CFA" w:rsidRPr="002F7CFA" w:rsidRDefault="002F7CFA"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Để đảm bảo cho sự phát triển bền vững vẫn cần một khung pháp lý chuẩn</w:t>
      </w:r>
    </w:p>
    <w:p w14:paraId="27B3C627" w14:textId="77777777" w:rsidR="006A59D1" w:rsidRPr="002F7CFA" w:rsidRDefault="006A59D1" w:rsidP="00C730A3">
      <w:pPr>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3.3 Lựa chọn phương án</w:t>
      </w:r>
    </w:p>
    <w:p w14:paraId="776E1D18" w14:textId="29EC49A2" w:rsidR="001D7C28" w:rsidRPr="002F7CFA" w:rsidRDefault="002F7CFA" w:rsidP="00C730A3">
      <w:pPr>
        <w:spacing w:line="336" w:lineRule="auto"/>
        <w:jc w:val="both"/>
        <w:rPr>
          <w:rFonts w:ascii="Times New Roman" w:hAnsi="Times New Roman" w:cs="Times New Roman"/>
          <w:sz w:val="27"/>
          <w:szCs w:val="27"/>
        </w:rPr>
      </w:pPr>
      <w:r w:rsidRPr="002F7CFA">
        <w:rPr>
          <w:rFonts w:ascii="Times New Roman" w:hAnsi="Times New Roman" w:cs="Times New Roman"/>
          <w:bCs/>
          <w:sz w:val="27"/>
          <w:szCs w:val="27"/>
        </w:rPr>
        <w:t>Trong gần một thập kỷ qua, tự chủ trong giáo dục đại học Việt Nam đã có nhiều chuyển biến tích cực. Từ chỗ toàn thể hệ thống giáo dục đại học Việt Nam như một trường đại học lớn, chịu sự quản lý nhà nước chặt chẽ về mọi mặt thông qua Bộ Giáo dục và Đào tạo, đến nay, các trường đại học dần được trao quyền tự chủ. Quyền tự chủ của các cơ sở giáo dục đại học là điều kiện cần thiết cho việc thực hiện các phương pháp quản trị đại học tiên tiến để cải thiện và nâng cao chất lượng đào tạo.</w:t>
      </w:r>
    </w:p>
    <w:p w14:paraId="36C57D64" w14:textId="77777777" w:rsidR="006A59D1" w:rsidRPr="002F7CFA" w:rsidRDefault="006A59D1" w:rsidP="00C730A3">
      <w:pPr>
        <w:spacing w:line="336" w:lineRule="auto"/>
        <w:jc w:val="both"/>
        <w:rPr>
          <w:rFonts w:ascii="Times New Roman" w:hAnsi="Times New Roman" w:cs="Times New Roman"/>
          <w:b/>
          <w:sz w:val="27"/>
          <w:szCs w:val="27"/>
        </w:rPr>
      </w:pPr>
      <w:r w:rsidRPr="002F7CFA">
        <w:rPr>
          <w:rFonts w:ascii="Times New Roman" w:hAnsi="Times New Roman" w:cs="Times New Roman"/>
          <w:b/>
          <w:sz w:val="27"/>
          <w:szCs w:val="27"/>
        </w:rPr>
        <w:t>4. CÁCH THỨC TỔ CHỨC VÀ THỰC HIỆN PHƯƠNG ÁN LỰA CHỌN</w:t>
      </w:r>
    </w:p>
    <w:p w14:paraId="3E35BFD9" w14:textId="3A2A865A"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bCs/>
          <w:iCs/>
          <w:sz w:val="27"/>
          <w:szCs w:val="27"/>
        </w:rPr>
        <w:t>- Giao quyền tự chủ cho đơn vị sự nghiệp công</w:t>
      </w:r>
    </w:p>
    <w:p w14:paraId="2F0DC365" w14:textId="2ABC22CE"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lastRenderedPageBreak/>
        <w:t xml:space="preserve">Đơn vị sự nghiệp công xây dựng phương </w:t>
      </w:r>
      <w:proofErr w:type="gramStart"/>
      <w:r w:rsidRPr="002F7CFA">
        <w:rPr>
          <w:rFonts w:ascii="Times New Roman" w:hAnsi="Times New Roman" w:cs="Times New Roman"/>
          <w:iCs/>
          <w:sz w:val="27"/>
          <w:szCs w:val="27"/>
        </w:rPr>
        <w:t>án</w:t>
      </w:r>
      <w:proofErr w:type="gramEnd"/>
      <w:r w:rsidRPr="002F7CFA">
        <w:rPr>
          <w:rFonts w:ascii="Times New Roman" w:hAnsi="Times New Roman" w:cs="Times New Roman"/>
          <w:iCs/>
          <w:sz w:val="27"/>
          <w:szCs w:val="27"/>
        </w:rPr>
        <w:t xml:space="preserve"> tự chủ phù hợp với kế hoạch và điều kiện thực tế của đơn vị, báo cáo cơ quan quản lý cấp trên để phê duyệt, sau khi có ý kiến bằng văn bản của cơ quan tài chính cung cấp.</w:t>
      </w:r>
    </w:p>
    <w:p w14:paraId="3E0DD22F" w14:textId="0E8FFDD9"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Việc giao quyền tự chủ, tự chịu trách nhiệm cho các đơn vị sự nghiệp công quy </w:t>
      </w:r>
      <w:proofErr w:type="gramStart"/>
      <w:r w:rsidRPr="002F7CFA">
        <w:rPr>
          <w:rFonts w:ascii="Times New Roman" w:hAnsi="Times New Roman" w:cs="Times New Roman"/>
          <w:iCs/>
          <w:sz w:val="27"/>
          <w:szCs w:val="27"/>
        </w:rPr>
        <w:t>định</w:t>
      </w:r>
      <w:proofErr w:type="gramEnd"/>
      <w:r w:rsidRPr="002F7CFA">
        <w:rPr>
          <w:rFonts w:ascii="Times New Roman" w:hAnsi="Times New Roman" w:cs="Times New Roman"/>
          <w:iCs/>
          <w:sz w:val="27"/>
          <w:szCs w:val="27"/>
        </w:rPr>
        <w:t xml:space="preserve"> tại Chương II Nghị định này được ổn định trong thời gian 3 năm. Trường hợp nguồn thu, nhiệm vụ của đơn vị có biến động làm thay đổi mức độ tự chủ tài chính, đơn vị báo cáo cơ quan quản lý cấp trên để xem xét điều chỉnh mức độ tự chủ cho đơn vị trước thời hạn.</w:t>
      </w:r>
    </w:p>
    <w:p w14:paraId="33451C68" w14:textId="0C710CEE"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bookmarkStart w:id="7" w:name="Dieu_21"/>
      <w:bookmarkEnd w:id="7"/>
      <w:r w:rsidRPr="002F7CFA">
        <w:rPr>
          <w:rFonts w:ascii="Times New Roman" w:hAnsi="Times New Roman" w:cs="Times New Roman"/>
          <w:bCs/>
          <w:iCs/>
          <w:sz w:val="27"/>
          <w:szCs w:val="27"/>
        </w:rPr>
        <w:t>- Điều kiện, nội dung, yêu cầu để đơn vị sự nghiệp công vận dụng cơ chế tài chính như doanh nghiệp</w:t>
      </w:r>
    </w:p>
    <w:p w14:paraId="271027EC"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Đơn vị sự nghiệp công tự bảo đảm chi thường xuyên và chi đầu tư được vận dụng cơ chế tài chính như doanh nghiệp (công ty trách nhiệm hữu hạn một thành viên do Nhà nước nắm giữ 100% vốn điều lệ), khi đáp ứng đủ các điều kiện sau: a) Hoạt động dịch vụ sự nghiệp công có điều kiện xã hội hóa cao, Nhà nước không bao cấp; b) Giá dịch vụ sự nghiệp công tính đủ chi phí (bao gồm cả trích khấu hao tài sản cố định); c) Được Nhà nước xác định giá trị tài sản và giao vốn cho đơn vị quản lý theo quy định của pháp luật về quản lý, sử dụng tài sản nhà nước; d) Hạch toán kế toán theo quy định của các chuẩn mực kế toán áp dụng cho doanh nghiệp. </w:t>
      </w:r>
    </w:p>
    <w:p w14:paraId="75CACC39" w14:textId="001DC8B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Nội dung được vận dụng cơ chế tài chính như doanh nghiệp: Được xác định vốn điều lệ và bảo toàn vốn; Được vay vốn, huy động vốn, đầu tư vốn ra ngoài đơn vị theo quy định của pháp luật; Quản lý, sử dụng, trích khấu hao tài sản cố định theo quy định áp dụng cho doanh nghiệp; Quản lý doanh thu, chi phí và phân phối lợi nhuận; thực hiện chế độ kế toán, thống kê áp dụng như doanh nghiệp.</w:t>
      </w:r>
    </w:p>
    <w:p w14:paraId="0CB411A3" w14:textId="42F15FB9"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Đơn vị sự nghiệp công đáp ứng đủ các điều kiện tại Khoản 1 Điều này, xây dựng Đề án vận dụng cơ chế tài chính như doanh nghiệp, báo cáo các Bộ, cơ quan Trung ương, địa phương để phê duyệt theo phân cấp. Chi phí xây dựng Đề án và các chi phí khác có liên quan trực tiếp đến việc vận dụng cơ chế tài chính như doanh nghiệp được ngân sách nhà nước đảm bảo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phân cấp.</w:t>
      </w:r>
    </w:p>
    <w:p w14:paraId="14637258" w14:textId="6E629563"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Các Bộ, cơ quan Trung ương xem xét quyết định đơn vị sự nghiệp công trực thuộc được vận dụng cơ chế tài chính như doanh nghiệp, sau khi có ý kiến bằng văn bản của Bộ Tài chính, Ủy ban nhân dân cấp tỉnh (hoặc cơ quan cấp dưới theo phân cấp) xem xét quyết định đơn vị sự nghiệp công trực thuộc được vận dụng cơ chế </w:t>
      </w:r>
      <w:r w:rsidRPr="002F7CFA">
        <w:rPr>
          <w:rFonts w:ascii="Times New Roman" w:hAnsi="Times New Roman" w:cs="Times New Roman"/>
          <w:iCs/>
          <w:sz w:val="27"/>
          <w:szCs w:val="27"/>
        </w:rPr>
        <w:lastRenderedPageBreak/>
        <w:t>tài chính như doanh nghiệp, sau khi có ý kiến bằng văn bản của cơ quan tài chính địa phương. Căn cứ quy định tại Khoản 1 Điều này, các Bộ, cơ quan Trung ương, Ủy ban nhân dân cấp tỉnh trong phạm vi thẩm quyền chỉ đạo các đơn vị sự nghiệp công rà soát, xây dựng lộ trình để đơn vị sự nghiệp công đủ điều kiện được vận dụng cơ chế tài chính như doanh nghiệp.</w:t>
      </w:r>
    </w:p>
    <w:p w14:paraId="46266605" w14:textId="2A6F0FA0"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bookmarkStart w:id="8" w:name="Dieu_22"/>
      <w:bookmarkEnd w:id="8"/>
      <w:r w:rsidRPr="002F7CFA">
        <w:rPr>
          <w:rFonts w:ascii="Times New Roman" w:hAnsi="Times New Roman" w:cs="Times New Roman"/>
          <w:bCs/>
          <w:iCs/>
          <w:sz w:val="27"/>
          <w:szCs w:val="27"/>
        </w:rPr>
        <w:t>- Trách nhiệm của các Bộ, cơ quan Trung ương, Ủy ban nhân dân cấp tỉnh</w:t>
      </w:r>
    </w:p>
    <w:p w14:paraId="082A9156" w14:textId="15470708"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Căn cứ các quy định tại Nghị định này: Các Bộ: Giáo dục và Đào tạo, Lao động - Thương binh và Xã hội, Văn hóa, Thể thao và Du lịch, Thông tin và Truyền thông, Y tế, Khoa học và Công nghệ chủ trì, phối hợp với Bộ Tài chính, Bộ Nội vụ và các Bộ, cơ quan liên quan xây dựng và trình Chính phủ sửa đổi, ban hành Nghị định quy định cơ chế tự chủ của đơn vị sự nghiệp công trong từng lĩnh vực; Bộ Tài chính chủ trì, phối hợp với Bộ Nội vụ và các Bộ, cơ quan liên quan xây dựng và trình Chính phủ ban hành Nghị định quy định cơ chế tự chủ của đơn vị sự nghiệp công lập trong lĩnh vực sự nghiệp kinh tế và sự nghiệp khác.</w:t>
      </w:r>
    </w:p>
    <w:p w14:paraId="641657CC" w14:textId="05BC74F0"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Các Bộ, cơ quan Trung ương, Ủy ban nhân dân cấp tỉnh, căn cứ phạm vi quản lý, chức năng, nhiệm vụ theo thẩm quyền được giao rà soát, sửa đổi, bổ sung hoặc ban hành mới các tiêu chí, tiêu chuẩn chất lượng, cơ chế giám sát, đánh giá, kiểm định chất lượng dịch vụ sự nghiệp công; hiệu quả hoạt động của đơn vị sự nghiệp công; thực hiện thanh tra, kiểm tra, xử phạt vi phạm trong hoạt động cung ứng dịch vụ sự nghiệp công và tổ chức thực hiện các nội dung khác về trách nhiệm quản lý nhà nước đối với dịch vụ sự nghiệp công và đơn vị sự nghiệp công quy định tại Điều 4 Nghị định này.</w:t>
      </w:r>
    </w:p>
    <w:p w14:paraId="1410448A" w14:textId="29F29E79"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Trong năm 2015, Bộ trưởng, Thủ trưởng cơ quan Trung ương có trách nhiệm:  Trình Thủ tướng Chính phủ ban hành Quy hoạch mạng lưới các đơn vị sự nghiệp công theo ngành, lĩnh vực; danh mục dịch vụ sự nghiệp công sử dụng ngân sách nhà nước thuộc lĩnh vực quản lý; Ban hành theo thẩm quyền định mức kinh tế - kỹ thuật áp dụng trong các lĩnh vực dịch vụ sự nghiệp công do Nhà nước quản lý, làm cơ sở ban hành giá dịch vụ sự nghiệp công tính đủ chi phí và các quy định tại Điều 4 Nghị định này.</w:t>
      </w:r>
    </w:p>
    <w:p w14:paraId="4F2216CF" w14:textId="5BB64C5D"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Trong năm 2015, Bộ Nội vụ có trách nhiệm hướng dẫn về thành lập và hoạt động của Hội đồng quản lý; hướng dẫn nguyên tắc, phương pháp xác định vị trí việc làm; thẩm quyền, trình tự, thủ tục quyết định số lượng vị trí việc làm; hướng dẫn </w:t>
      </w:r>
      <w:r w:rsidRPr="002F7CFA">
        <w:rPr>
          <w:rFonts w:ascii="Times New Roman" w:hAnsi="Times New Roman" w:cs="Times New Roman"/>
          <w:iCs/>
          <w:sz w:val="27"/>
          <w:szCs w:val="27"/>
        </w:rPr>
        <w:lastRenderedPageBreak/>
        <w:t>các đơn vị sự nghiệp công chưa xây dựng được vị trí việc làm và cơ cấu viên chức theo chức danh nghề nghiệp xác định số lượng người làm việc trên cơ sở định biên bình quân các năm trước.</w:t>
      </w:r>
    </w:p>
    <w:p w14:paraId="69D1D146" w14:textId="7B9C85C4"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Bộ Tài chính có trách nhiệm thay đổi phương thức bố trí dự toán ngân sách cho các đơn vị sự nghiệp công phù hợp với cơ chế tự chủ tài chính quy định tại Nghị định này.</w:t>
      </w:r>
    </w:p>
    <w:p w14:paraId="31564E9C" w14:textId="3EC4A551"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Chủ tịch Ủy ban nhân dân cấp tỉnh trong phạm vi thẩm quyền có trách nhiệm ban hành trong năm 2015: Quy hoạch mạng lưới các đơn vị sự nghiệp công trong từng lĩnh vực; danh mục dịch vụ sự nghiệp công sử dụng ngân sách nhà nước; định mức kinh tế - kỹ thuật áp dụng trong các lĩnh vực dịch vụ sự nghiệp công, làm cơ sở ban hành giá dịch vụ sự nghiệp công tính đủ chi phí và các quy định tại Điều 4 Nghị định này.</w:t>
      </w:r>
    </w:p>
    <w:p w14:paraId="57128AE4" w14:textId="6E14950B"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bookmarkStart w:id="9" w:name="Dieu_23"/>
      <w:bookmarkEnd w:id="9"/>
      <w:r w:rsidRPr="002F7CFA">
        <w:rPr>
          <w:rFonts w:ascii="Times New Roman" w:hAnsi="Times New Roman" w:cs="Times New Roman"/>
          <w:bCs/>
          <w:iCs/>
          <w:sz w:val="27"/>
          <w:szCs w:val="27"/>
        </w:rPr>
        <w:t>- Trách nhiệm của Thủ trưởng đơn vị sự nghiệp công</w:t>
      </w:r>
    </w:p>
    <w:p w14:paraId="7D672CF5" w14:textId="26A6BA9D"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Chịu trách nhiệm trước cơ quan quản lý cấp trên trực tiếp và trước pháp luật đối với các quyết định thực hiện quyền tự chủ về nhiệm vụ, tổ chức bộ máy, nhân sự và tài chính của đơn vị.</w:t>
      </w:r>
    </w:p>
    <w:p w14:paraId="7A34B4ED" w14:textId="6551D700"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Bảo đảm chất lượng dịch vụ sự nghiệp công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các tiêu chí, tiêu chuẩn do cơ quan nhà nước có thẩm quyền quy định.</w:t>
      </w:r>
    </w:p>
    <w:p w14:paraId="530DE71A" w14:textId="0FB1FD29"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Xây dựng và tổ chức thực hiện quy chế chi tiêu nội bộ, quy chế sử dụng tài sản, quy chế dân chủ cơ sở, quy chế công khai tài chính, kiểm toán nội bộ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quy định.</w:t>
      </w:r>
    </w:p>
    <w:p w14:paraId="5767A5CA" w14:textId="3A49BF6C"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Tổ chức, thực hiện quản lý, sử dụng viên chức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quy định của pháp luật về viên chức.</w:t>
      </w:r>
    </w:p>
    <w:p w14:paraId="3E500BF4" w14:textId="3A416E8C"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Quản lý, bảo toàn và phát triển vốn, tài sản của Nhà nước giao, thực hiện chế độ hạch toán kế toán, thống kê, thông tin, báo cáo hoạt động, kiểm toán theo quy định.</w:t>
      </w:r>
    </w:p>
    <w:p w14:paraId="1FE753C1" w14:textId="7B3AC24E"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Trình cơ quan có thẩm quyền quyết định thành lập và quy định chức năng, nhiệm vụ, quyền hạn, cơ cấu tổ chức của Hội đồng quản lý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quy định.</w:t>
      </w:r>
    </w:p>
    <w:p w14:paraId="0884CADD" w14:textId="183D1530"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iCs/>
          <w:sz w:val="27"/>
          <w:szCs w:val="27"/>
        </w:rPr>
      </w:pPr>
      <w:r w:rsidRPr="002F7CFA">
        <w:rPr>
          <w:rFonts w:ascii="Times New Roman" w:hAnsi="Times New Roman" w:cs="Times New Roman"/>
          <w:iCs/>
          <w:sz w:val="27"/>
          <w:szCs w:val="27"/>
        </w:rPr>
        <w:t xml:space="preserve">Thực hiện quy định công khai, trách nhiệm giải trình hoạt động của đơn vị </w:t>
      </w:r>
      <w:proofErr w:type="gramStart"/>
      <w:r w:rsidRPr="002F7CFA">
        <w:rPr>
          <w:rFonts w:ascii="Times New Roman" w:hAnsi="Times New Roman" w:cs="Times New Roman"/>
          <w:iCs/>
          <w:sz w:val="27"/>
          <w:szCs w:val="27"/>
        </w:rPr>
        <w:t>theo</w:t>
      </w:r>
      <w:proofErr w:type="gramEnd"/>
      <w:r w:rsidRPr="002F7CFA">
        <w:rPr>
          <w:rFonts w:ascii="Times New Roman" w:hAnsi="Times New Roman" w:cs="Times New Roman"/>
          <w:iCs/>
          <w:sz w:val="27"/>
          <w:szCs w:val="27"/>
        </w:rPr>
        <w:t xml:space="preserve"> quy định của pháp luật.</w:t>
      </w:r>
    </w:p>
    <w:p w14:paraId="6F46439C"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b/>
          <w:sz w:val="27"/>
          <w:szCs w:val="27"/>
        </w:rPr>
      </w:pPr>
      <w:r w:rsidRPr="002F7CFA">
        <w:rPr>
          <w:rFonts w:ascii="Times New Roman" w:hAnsi="Times New Roman" w:cs="Times New Roman"/>
          <w:b/>
          <w:iCs/>
          <w:sz w:val="27"/>
          <w:szCs w:val="27"/>
        </w:rPr>
        <w:t xml:space="preserve"> </w:t>
      </w:r>
      <w:r w:rsidR="006A59D1" w:rsidRPr="002F7CFA">
        <w:rPr>
          <w:rFonts w:ascii="Times New Roman" w:hAnsi="Times New Roman" w:cs="Times New Roman"/>
          <w:b/>
          <w:sz w:val="27"/>
          <w:szCs w:val="27"/>
        </w:rPr>
        <w:t>5. ĐỀ XUẤT VÀ KIẾN NGHỊ</w:t>
      </w:r>
    </w:p>
    <w:p w14:paraId="58879554" w14:textId="5425019F"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Để nâng cao hiệu quả thực hiện cơ chế tự chủ tài chính của các trường đại học công lập, nâng cao chất lượng đào tạo, cần thiết phải triển khai một số nội dung </w:t>
      </w:r>
      <w:r w:rsidRPr="002F7CFA">
        <w:rPr>
          <w:rFonts w:ascii="Times New Roman" w:hAnsi="Times New Roman" w:cs="Times New Roman"/>
          <w:sz w:val="27"/>
          <w:szCs w:val="27"/>
        </w:rPr>
        <w:lastRenderedPageBreak/>
        <w:t>sau:</w:t>
      </w:r>
    </w:p>
    <w:p w14:paraId="6478A2E3"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
          <w:iCs/>
          <w:sz w:val="27"/>
          <w:szCs w:val="27"/>
        </w:rPr>
        <w:t>Thứ nhất</w:t>
      </w:r>
      <w:r w:rsidRPr="002F7CFA">
        <w:rPr>
          <w:rFonts w:ascii="Times New Roman" w:hAnsi="Times New Roman" w:cs="Times New Roman"/>
          <w:sz w:val="27"/>
          <w:szCs w:val="27"/>
        </w:rPr>
        <w:t>, các bộ, ngành cần sớm ban hành các văn bản hướng dẫn, các tiêu chí đánh giá mức độ và chất lượng hoàn thành nhiệm vụ của đơn vị được giao tự chủ nhằm tháo gỡ khó khăn về cơ chế, chính sách. Đồng thời, tăng cường kiểm tra, rà soát, sửa đổi, bổ sung, ban hành mới các tiêu chuẩn, định mức và mở rộng lĩnh vực giao quyền tự chủ cho các đơn vị; Sửa đổi chế độ khấu hao tài sản cố định; Sửa đổi chính sách phí, lệ phí cho phù hợp với điều kiện thực tế.</w:t>
      </w:r>
    </w:p>
    <w:p w14:paraId="030DC379"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Nhà nước cũng cần đổi mới phương pháp phân bổ kinh phí NSNN cho các cơ sở giáo dục đại học theo kết quả đầu ra; giao ngân sách gắn với nhiệm vụ và sản phẩm cuối cùng; giao ngân sách gắn với các hệ thống định mức kinh tế kỹ thuật trong đào tạo, định mức phân bổ chi phí đào tạo, có sự phân biệt giữa cơ sở hoạt động có chất lượng hiệu quả với cơ sở kém chất lượng, không hiệu quả, đồng thời, thực hiện cơ chế đặt hàng đối với đào tạo đại học. Tất cả các cơ sở giáo dục đại học đều được tham gia vào quy trình tuyển chọn kinh phí đặt hàng đào tạo từ NSNN...</w:t>
      </w:r>
    </w:p>
    <w:p w14:paraId="4210A6BD"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
          <w:iCs/>
          <w:sz w:val="27"/>
          <w:szCs w:val="27"/>
        </w:rPr>
        <w:t>Thứ hai</w:t>
      </w:r>
      <w:r w:rsidRPr="002F7CFA">
        <w:rPr>
          <w:rFonts w:ascii="Times New Roman" w:hAnsi="Times New Roman" w:cs="Times New Roman"/>
          <w:sz w:val="27"/>
          <w:szCs w:val="27"/>
        </w:rPr>
        <w:t xml:space="preserve">, trao nhiều quyền tự chủ về mức </w:t>
      </w:r>
      <w:proofErr w:type="gramStart"/>
      <w:r w:rsidRPr="002F7CFA">
        <w:rPr>
          <w:rFonts w:ascii="Times New Roman" w:hAnsi="Times New Roman" w:cs="Times New Roman"/>
          <w:sz w:val="27"/>
          <w:szCs w:val="27"/>
        </w:rPr>
        <w:t>thu</w:t>
      </w:r>
      <w:proofErr w:type="gramEnd"/>
      <w:r w:rsidRPr="002F7CFA">
        <w:rPr>
          <w:rFonts w:ascii="Times New Roman" w:hAnsi="Times New Roman" w:cs="Times New Roman"/>
          <w:sz w:val="27"/>
          <w:szCs w:val="27"/>
        </w:rPr>
        <w:t xml:space="preserve"> hơn nữa cho các trường ĐHCL, trước hết là thu học phí, lệ phí. Các cơ sở giáo dục ĐHCL được phép tính đủ chi phí tiền lương và chi phí hoạt động thường xuyên trong giá dịch vụ của đơn vị sự nghiệp công lập trên cơ sở khung giá do Nhà nước quy định, chi phí khấu hao tài sản cố định trong học phí của cơ sở giáo dục ĐHCL, đảm bảo nguyên tắc lấy thu đủ bù đắp chi phí đào tạo trong học phí.</w:t>
      </w:r>
    </w:p>
    <w:p w14:paraId="13D979D5"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Bên cạnh việc giao quyền tự chủ, tự chịu trách nhiệm tài chính cho các trường đại học cần quan tâm đến công tác quản lý nhà nước, nhất là công tác kiểm tra, giám sát, yêu cầu tính công khai, minh bạch, trách nhiệm giải trình của các trường đại học nhằm đảm bảo các trường đại học hoạt động theo đúng luật pháp. Các trường cũng cần tiếp tục đổi mới toàn diện: Xây dựng quy chế chi tiêu nội bộ mang tính chi tiết, đảm bảo tính công khai, dân chủ và công bằng; Xây dựng hệ thống tiêu chí đánh giá kết quả hoạt động của từng người </w:t>
      </w:r>
      <w:proofErr w:type="gramStart"/>
      <w:r w:rsidRPr="002F7CFA">
        <w:rPr>
          <w:rFonts w:ascii="Times New Roman" w:hAnsi="Times New Roman" w:cs="Times New Roman"/>
          <w:sz w:val="27"/>
          <w:szCs w:val="27"/>
        </w:rPr>
        <w:t>lao</w:t>
      </w:r>
      <w:proofErr w:type="gramEnd"/>
      <w:r w:rsidRPr="002F7CFA">
        <w:rPr>
          <w:rFonts w:ascii="Times New Roman" w:hAnsi="Times New Roman" w:cs="Times New Roman"/>
          <w:sz w:val="27"/>
          <w:szCs w:val="27"/>
        </w:rPr>
        <w:t xml:space="preserve"> động.</w:t>
      </w:r>
    </w:p>
    <w:p w14:paraId="19238A57"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 xml:space="preserve">Trong đó, chú trọng giải pháp chi trả </w:t>
      </w:r>
      <w:proofErr w:type="gramStart"/>
      <w:r w:rsidRPr="002F7CFA">
        <w:rPr>
          <w:rFonts w:ascii="Times New Roman" w:hAnsi="Times New Roman" w:cs="Times New Roman"/>
          <w:sz w:val="27"/>
          <w:szCs w:val="27"/>
        </w:rPr>
        <w:t>thu</w:t>
      </w:r>
      <w:proofErr w:type="gramEnd"/>
      <w:r w:rsidRPr="002F7CFA">
        <w:rPr>
          <w:rFonts w:ascii="Times New Roman" w:hAnsi="Times New Roman" w:cs="Times New Roman"/>
          <w:sz w:val="27"/>
          <w:szCs w:val="27"/>
        </w:rPr>
        <w:t xml:space="preserve"> nhập theo hiệu quả công việc, khuyến khích, hấp dẫn, thu hút người có năng lực, có trình độ. Đặc biệt là phải xây dựng được chiến lược tài chính hợp lý cho đầu tư cơ sở vật chất trong ngắn hạn và dài hạn. Ngoài ra, nên tích cực tìm kiếm, </w:t>
      </w:r>
      <w:proofErr w:type="gramStart"/>
      <w:r w:rsidRPr="002F7CFA">
        <w:rPr>
          <w:rFonts w:ascii="Times New Roman" w:hAnsi="Times New Roman" w:cs="Times New Roman"/>
          <w:sz w:val="27"/>
          <w:szCs w:val="27"/>
        </w:rPr>
        <w:t>thu</w:t>
      </w:r>
      <w:proofErr w:type="gramEnd"/>
      <w:r w:rsidRPr="002F7CFA">
        <w:rPr>
          <w:rFonts w:ascii="Times New Roman" w:hAnsi="Times New Roman" w:cs="Times New Roman"/>
          <w:sz w:val="27"/>
          <w:szCs w:val="27"/>
        </w:rPr>
        <w:t xml:space="preserve"> hút nguồn lực tài chính từ các nguồn dự </w:t>
      </w:r>
      <w:r w:rsidRPr="002F7CFA">
        <w:rPr>
          <w:rFonts w:ascii="Times New Roman" w:hAnsi="Times New Roman" w:cs="Times New Roman"/>
          <w:sz w:val="27"/>
          <w:szCs w:val="27"/>
        </w:rPr>
        <w:lastRenderedPageBreak/>
        <w:t>án, nguồn vốn viện trợ nước ngoài.</w:t>
      </w:r>
    </w:p>
    <w:p w14:paraId="037EFAA9"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i/>
          <w:iCs/>
          <w:sz w:val="27"/>
          <w:szCs w:val="27"/>
        </w:rPr>
        <w:t>Thứ ba</w:t>
      </w:r>
      <w:r w:rsidRPr="002F7CFA">
        <w:rPr>
          <w:rFonts w:ascii="Times New Roman" w:hAnsi="Times New Roman" w:cs="Times New Roman"/>
          <w:sz w:val="27"/>
          <w:szCs w:val="27"/>
        </w:rPr>
        <w:t>, song song với việc tháo gỡ khó khăn trong lĩnh vực tự chủ tài chính, Nhà nước cần ban hành đầy đủ các quy định về chuẩn mực chất lượng đào tạo và tiêu chí kiểm định chất lượng đào tạo. Các quy định này cần từng bước tiếp cận với tiêu chuẩn khu vực, quốc tế và định kỳ thực hiện kiểm định chất lượng đào tạo của các cơ sở đào tạo.</w:t>
      </w:r>
    </w:p>
    <w:p w14:paraId="3962CAB6" w14:textId="77777777"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Trong quá trình đào tạo cần yêu cầu các cơ sở đào tạo có trách nhiệm nâng cao chất lượng như đổi mới giáo trình, phương pháp giảng dạy, cơ sở vật chất trang thiết bị; đồng thời, tăng cường công tác thanh tra, kiểm tra, kiểm định chất lượng đào tạo thông qua các cơ quan quản lý nhà nước cũng như thông qua các tổ chức kiểm định độc lập.</w:t>
      </w:r>
    </w:p>
    <w:p w14:paraId="1E076D21" w14:textId="7A6286CF" w:rsidR="00735375" w:rsidRPr="002F7CFA" w:rsidRDefault="00735375"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r w:rsidRPr="002F7CFA">
        <w:rPr>
          <w:rFonts w:ascii="Times New Roman" w:hAnsi="Times New Roman" w:cs="Times New Roman"/>
          <w:sz w:val="27"/>
          <w:szCs w:val="27"/>
        </w:rPr>
        <w:t>Nhìn chung, để hoat động giáo dục đại học hoạt động có chất lượng, trước mắt, cần tập trung kiểm tra, rà soát lại việc đảm bảo điều kiện giáo viên, cơ sở vật chất và chất lượng đào tạo đối với các trường được thành lập mới. Các cơ quan chuyên quản cần kiên quyết chấn chỉnh đối với các trường chưa đảm bảo đủ các tiêu chí quy định về thành lập trường, tiêu chí về giáo viên, cơ sở vật chất theo quy định, cần thiết yêu cầu Tự chủ tài chính đối với đại học công lập sáp nhập hoặc đình chỉ hoạt động để củng cố chất lượng, khi nào đủ chất lượng mới được tiếp tục hoạt động. </w:t>
      </w:r>
      <w:r w:rsidRPr="002F7CFA">
        <w:rPr>
          <w:rFonts w:ascii="Times New Roman" w:hAnsi="Times New Roman" w:cs="Times New Roman"/>
          <w:sz w:val="27"/>
          <w:szCs w:val="27"/>
        </w:rPr>
        <w:tab/>
      </w:r>
      <w:r w:rsidRPr="002F7CFA">
        <w:rPr>
          <w:rFonts w:ascii="Times New Roman" w:hAnsi="Times New Roman" w:cs="Times New Roman"/>
          <w:sz w:val="27"/>
          <w:szCs w:val="27"/>
        </w:rPr>
        <w:br/>
      </w:r>
    </w:p>
    <w:p w14:paraId="1DF249A1" w14:textId="1FEC50EF" w:rsidR="00735375" w:rsidRPr="000260B3" w:rsidRDefault="00C730A3" w:rsidP="00C730A3">
      <w:pPr>
        <w:widowControl w:val="0"/>
        <w:tabs>
          <w:tab w:val="center" w:pos="4510"/>
        </w:tabs>
        <w:autoSpaceDE w:val="0"/>
        <w:autoSpaceDN w:val="0"/>
        <w:adjustRightInd w:val="0"/>
        <w:spacing w:line="336" w:lineRule="auto"/>
        <w:jc w:val="center"/>
        <w:rPr>
          <w:rFonts w:ascii="Times New Roman" w:hAnsi="Times New Roman" w:cs="Times New Roman"/>
          <w:b/>
          <w:sz w:val="27"/>
          <w:szCs w:val="27"/>
        </w:rPr>
      </w:pPr>
      <w:r w:rsidRPr="000260B3">
        <w:rPr>
          <w:rFonts w:ascii="Times New Roman" w:hAnsi="Times New Roman" w:cs="Times New Roman"/>
          <w:b/>
          <w:bCs/>
          <w:sz w:val="27"/>
          <w:szCs w:val="27"/>
        </w:rPr>
        <w:t>TÀI LIỆU THAM KHẢO</w:t>
      </w:r>
    </w:p>
    <w:p w14:paraId="7190E3C8" w14:textId="77777777" w:rsidR="00C730A3" w:rsidRPr="000260B3" w:rsidRDefault="00C730A3"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bCs/>
          <w:iCs/>
        </w:rPr>
      </w:pPr>
      <w:r w:rsidRPr="000260B3">
        <w:rPr>
          <w:rFonts w:ascii="Times New Roman" w:hAnsi="Times New Roman" w:cs="Times New Roman"/>
          <w:iCs/>
        </w:rPr>
        <w:t xml:space="preserve">Thông tư 24/2015/TT-BGDĐT </w:t>
      </w:r>
      <w:r w:rsidRPr="000260B3">
        <w:rPr>
          <w:rFonts w:ascii="Times New Roman" w:hAnsi="Times New Roman" w:cs="Times New Roman"/>
          <w:bCs/>
          <w:iCs/>
        </w:rPr>
        <w:t>Quy định</w:t>
      </w:r>
      <w:r w:rsidRPr="000260B3">
        <w:rPr>
          <w:rFonts w:ascii="Times New Roman" w:hAnsi="Times New Roman" w:cs="Times New Roman"/>
          <w:iCs/>
        </w:rPr>
        <w:t> </w:t>
      </w:r>
      <w:r w:rsidRPr="000260B3">
        <w:rPr>
          <w:rFonts w:ascii="Times New Roman" w:hAnsi="Times New Roman" w:cs="Times New Roman"/>
          <w:bCs/>
          <w:iCs/>
        </w:rPr>
        <w:t>chuẩn quốc gia đối với cơ sở giáo dục đại học</w:t>
      </w:r>
    </w:p>
    <w:p w14:paraId="5E7F722E" w14:textId="77777777" w:rsidR="00C730A3" w:rsidRPr="000260B3" w:rsidRDefault="00C730A3"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bCs/>
          <w:iCs/>
        </w:rPr>
      </w:pPr>
      <w:r w:rsidRPr="000260B3">
        <w:rPr>
          <w:rFonts w:ascii="Times New Roman" w:hAnsi="Times New Roman" w:cs="Times New Roman"/>
          <w:iCs/>
        </w:rPr>
        <w:t>Nghị định số 55/2011/NĐ-CP ngày 04 tháng 7 năm 2011 của Chính phủ quy định chức năng, nhiệ</w:t>
      </w:r>
      <w:bookmarkStart w:id="10" w:name="_GoBack"/>
      <w:bookmarkEnd w:id="10"/>
      <w:r w:rsidRPr="000260B3">
        <w:rPr>
          <w:rFonts w:ascii="Times New Roman" w:hAnsi="Times New Roman" w:cs="Times New Roman"/>
          <w:iCs/>
        </w:rPr>
        <w:t>m vụ, quyền hạn và tổ chức bộ máy của tổ chức pháp chế (Nghị định số 55/2011/NĐ-CP)</w:t>
      </w:r>
    </w:p>
    <w:p w14:paraId="39295EF6" w14:textId="77777777" w:rsidR="00C730A3" w:rsidRPr="000260B3" w:rsidRDefault="00C730A3"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rPr>
      </w:pPr>
      <w:r w:rsidRPr="000260B3">
        <w:rPr>
          <w:rFonts w:ascii="Times New Roman" w:hAnsi="Times New Roman" w:cs="Times New Roman"/>
          <w:iCs/>
        </w:rPr>
        <w:t>Nghị định số 16/2015/NĐ-CP của Chính phủ ban hành ngày 14/2/2015, Quy định cơ chế tự chủ cho các đơn vị sự nghiệp công lập;</w:t>
      </w:r>
    </w:p>
    <w:p w14:paraId="28351A4A" w14:textId="3A70C0A7" w:rsidR="00735375" w:rsidRPr="000260B3" w:rsidRDefault="00735375"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rPr>
      </w:pPr>
      <w:r w:rsidRPr="000260B3">
        <w:rPr>
          <w:rFonts w:ascii="Times New Roman" w:hAnsi="Times New Roman" w:cs="Times New Roman"/>
          <w:iCs/>
        </w:rPr>
        <w:t>Kết luận số 37/TB/TW ngày 26/5/2011 của Bộ Chính trị về Đề án “Đổi mới cơ chế hoạt động của các đơn vị sự nghiệp công lập, đẩy mạnh xã hội hóa một số loại hình sự dịch vụ sự nghiệp công”;</w:t>
      </w:r>
    </w:p>
    <w:p w14:paraId="183E4893" w14:textId="365E2DF5" w:rsidR="00735375" w:rsidRPr="000260B3" w:rsidRDefault="00735375"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rPr>
      </w:pPr>
      <w:r w:rsidRPr="000260B3">
        <w:rPr>
          <w:rFonts w:ascii="Times New Roman" w:hAnsi="Times New Roman" w:cs="Times New Roman"/>
          <w:iCs/>
        </w:rPr>
        <w:t>Kết luận số 37/TB/TW ngày 26/5/2011 của Bộ Chính trị về Đề án “Đổi mới cơ chế hoạt động của các đơn vị sự nghiệp công lập, đẩy mạnh xã hội hóa một số loại hình sự dịch vụ sự nghiệp công”;</w:t>
      </w:r>
    </w:p>
    <w:p w14:paraId="5CBB4949" w14:textId="590BE9A3" w:rsidR="00735375" w:rsidRPr="000260B3" w:rsidRDefault="00735375" w:rsidP="00C730A3">
      <w:pPr>
        <w:pStyle w:val="ListParagraph"/>
        <w:widowControl w:val="0"/>
        <w:numPr>
          <w:ilvl w:val="0"/>
          <w:numId w:val="2"/>
        </w:numPr>
        <w:tabs>
          <w:tab w:val="center" w:pos="4510"/>
        </w:tabs>
        <w:autoSpaceDE w:val="0"/>
        <w:autoSpaceDN w:val="0"/>
        <w:adjustRightInd w:val="0"/>
        <w:ind w:left="714" w:hanging="357"/>
        <w:jc w:val="both"/>
        <w:rPr>
          <w:rFonts w:ascii="Times New Roman" w:hAnsi="Times New Roman" w:cs="Times New Roman"/>
          <w:iCs/>
        </w:rPr>
      </w:pPr>
      <w:r w:rsidRPr="000260B3">
        <w:rPr>
          <w:rFonts w:ascii="Times New Roman" w:hAnsi="Times New Roman" w:cs="Times New Roman"/>
          <w:iCs/>
        </w:rPr>
        <w:t>Nghị quyết số 77/NQ-CP của Chính phủ ban hành ngày 24/10/2014, Thí điểm đổi mới cơ chế hoạt động đối với các cơ sở giáo dục ĐHCL giai đoạn 2014 – 2017.</w:t>
      </w:r>
    </w:p>
    <w:p w14:paraId="14001EAB" w14:textId="47E99EB7" w:rsidR="00C730A3" w:rsidRPr="00C730A3" w:rsidRDefault="00C730A3" w:rsidP="00C730A3">
      <w:pPr>
        <w:widowControl w:val="0"/>
        <w:tabs>
          <w:tab w:val="center" w:pos="4510"/>
        </w:tabs>
        <w:autoSpaceDE w:val="0"/>
        <w:autoSpaceDN w:val="0"/>
        <w:adjustRightInd w:val="0"/>
        <w:spacing w:line="336" w:lineRule="auto"/>
        <w:jc w:val="both"/>
        <w:rPr>
          <w:rFonts w:ascii="Times New Roman" w:hAnsi="Times New Roman" w:cs="Times New Roman"/>
          <w:sz w:val="27"/>
          <w:szCs w:val="27"/>
        </w:rPr>
      </w:pPr>
    </w:p>
    <w:p w14:paraId="4F31EAE8" w14:textId="759CBACB" w:rsidR="00037916" w:rsidRPr="002F7CFA" w:rsidRDefault="00FB2687" w:rsidP="00C730A3">
      <w:pPr>
        <w:widowControl w:val="0"/>
        <w:tabs>
          <w:tab w:val="center" w:pos="4510"/>
        </w:tabs>
        <w:autoSpaceDE w:val="0"/>
        <w:autoSpaceDN w:val="0"/>
        <w:adjustRightInd w:val="0"/>
        <w:spacing w:line="336" w:lineRule="auto"/>
        <w:jc w:val="both"/>
        <w:rPr>
          <w:rFonts w:ascii="Times New Roman" w:hAnsi="Times New Roman" w:cs="Times New Roman"/>
          <w:b/>
          <w:sz w:val="27"/>
          <w:szCs w:val="27"/>
        </w:rPr>
      </w:pPr>
      <w:r w:rsidRPr="002F7CFA">
        <w:rPr>
          <w:rFonts w:ascii="Times New Roman" w:hAnsi="Times New Roman" w:cs="Times New Roman"/>
          <w:b/>
          <w:sz w:val="27"/>
          <w:szCs w:val="27"/>
        </w:rPr>
        <w:lastRenderedPageBreak/>
        <w:tab/>
      </w:r>
    </w:p>
    <w:sectPr w:rsidR="00037916" w:rsidRPr="002F7CFA" w:rsidSect="00C730A3">
      <w:footerReference w:type="default" r:id="rId9"/>
      <w:pgSz w:w="11900" w:h="16840" w:code="9"/>
      <w:pgMar w:top="1418" w:right="1418" w:bottom="1418" w:left="1701" w:header="709" w:footer="709" w:gutter="0"/>
      <w:pgNumType w:start="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37068A" w14:textId="77777777" w:rsidR="00146D8E" w:rsidRDefault="00146D8E" w:rsidP="00C730A3">
      <w:r>
        <w:separator/>
      </w:r>
    </w:p>
  </w:endnote>
  <w:endnote w:type="continuationSeparator" w:id="0">
    <w:p w14:paraId="3CD2BCBC" w14:textId="77777777" w:rsidR="00146D8E" w:rsidRDefault="00146D8E" w:rsidP="00C7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5304"/>
      <w:docPartObj>
        <w:docPartGallery w:val="Page Numbers (Bottom of Page)"/>
        <w:docPartUnique/>
      </w:docPartObj>
    </w:sdtPr>
    <w:sdtEndPr>
      <w:rPr>
        <w:noProof/>
      </w:rPr>
    </w:sdtEndPr>
    <w:sdtContent>
      <w:p w14:paraId="74B5F88F" w14:textId="134E159C" w:rsidR="00C730A3" w:rsidRDefault="00C730A3">
        <w:pPr>
          <w:pStyle w:val="Footer"/>
          <w:jc w:val="center"/>
        </w:pPr>
        <w:r>
          <w:fldChar w:fldCharType="begin"/>
        </w:r>
        <w:r>
          <w:instrText xml:space="preserve"> PAGE   \* MERGEFORMAT </w:instrText>
        </w:r>
        <w:r>
          <w:fldChar w:fldCharType="separate"/>
        </w:r>
        <w:r w:rsidR="000260B3">
          <w:rPr>
            <w:noProof/>
          </w:rPr>
          <w:t>22</w:t>
        </w:r>
        <w:r>
          <w:rPr>
            <w:noProof/>
          </w:rPr>
          <w:fldChar w:fldCharType="end"/>
        </w:r>
      </w:p>
    </w:sdtContent>
  </w:sdt>
  <w:p w14:paraId="1806E4F5" w14:textId="77777777" w:rsidR="00C730A3" w:rsidRDefault="00C730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EA197" w14:textId="77777777" w:rsidR="00146D8E" w:rsidRDefault="00146D8E" w:rsidP="00C730A3">
      <w:r>
        <w:separator/>
      </w:r>
    </w:p>
  </w:footnote>
  <w:footnote w:type="continuationSeparator" w:id="0">
    <w:p w14:paraId="233F767E" w14:textId="77777777" w:rsidR="00146D8E" w:rsidRDefault="00146D8E" w:rsidP="00C730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8F336E"/>
    <w:multiLevelType w:val="hybridMultilevel"/>
    <w:tmpl w:val="144CEF8A"/>
    <w:lvl w:ilvl="0" w:tplc="7E0E637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8794564"/>
    <w:multiLevelType w:val="hybridMultilevel"/>
    <w:tmpl w:val="B6FEA4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9AF"/>
    <w:rsid w:val="000260B3"/>
    <w:rsid w:val="00037916"/>
    <w:rsid w:val="00042680"/>
    <w:rsid w:val="000836DF"/>
    <w:rsid w:val="001355F5"/>
    <w:rsid w:val="00146D8E"/>
    <w:rsid w:val="001760CB"/>
    <w:rsid w:val="001C115C"/>
    <w:rsid w:val="001D7C28"/>
    <w:rsid w:val="002D65B9"/>
    <w:rsid w:val="002F7CFA"/>
    <w:rsid w:val="00334157"/>
    <w:rsid w:val="00402325"/>
    <w:rsid w:val="005019AF"/>
    <w:rsid w:val="00506120"/>
    <w:rsid w:val="0058708C"/>
    <w:rsid w:val="0062370A"/>
    <w:rsid w:val="006A59D1"/>
    <w:rsid w:val="00724678"/>
    <w:rsid w:val="00735375"/>
    <w:rsid w:val="008D52CE"/>
    <w:rsid w:val="00925542"/>
    <w:rsid w:val="009454BF"/>
    <w:rsid w:val="0097360A"/>
    <w:rsid w:val="009D205F"/>
    <w:rsid w:val="009E5CE9"/>
    <w:rsid w:val="009F1A02"/>
    <w:rsid w:val="00AA2E77"/>
    <w:rsid w:val="00C47A38"/>
    <w:rsid w:val="00C730A3"/>
    <w:rsid w:val="00E5466F"/>
    <w:rsid w:val="00E76FDE"/>
    <w:rsid w:val="00EB0D54"/>
    <w:rsid w:val="00FB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0197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019AF"/>
    <w:pPr>
      <w:spacing w:before="100" w:beforeAutospacing="1" w:after="100" w:afterAutospacing="1"/>
      <w:outlineLvl w:val="1"/>
    </w:pPr>
    <w:rPr>
      <w:rFonts w:ascii="Times New Roman" w:hAnsi="Times New Roman" w:cs="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019AF"/>
    <w:rPr>
      <w:rFonts w:ascii="Times New Roman" w:hAnsi="Times New Roman" w:cs="Times New Roman"/>
      <w:b/>
      <w:bCs/>
      <w:sz w:val="36"/>
      <w:szCs w:val="36"/>
    </w:rPr>
  </w:style>
  <w:style w:type="paragraph" w:styleId="NormalWeb">
    <w:name w:val="Normal (Web)"/>
    <w:basedOn w:val="Normal"/>
    <w:uiPriority w:val="99"/>
    <w:semiHidden/>
    <w:unhideWhenUsed/>
    <w:rsid w:val="005019AF"/>
    <w:pPr>
      <w:spacing w:before="100" w:beforeAutospacing="1" w:after="100" w:afterAutospacing="1"/>
    </w:pPr>
    <w:rPr>
      <w:rFonts w:ascii="Times New Roman" w:hAnsi="Times New Roman" w:cs="Times New Roman"/>
    </w:rPr>
  </w:style>
  <w:style w:type="character" w:styleId="Strong">
    <w:name w:val="Strong"/>
    <w:basedOn w:val="DefaultParagraphFont"/>
    <w:uiPriority w:val="22"/>
    <w:qFormat/>
    <w:rsid w:val="005019AF"/>
    <w:rPr>
      <w:b/>
      <w:bCs/>
    </w:rPr>
  </w:style>
  <w:style w:type="character" w:styleId="Emphasis">
    <w:name w:val="Emphasis"/>
    <w:basedOn w:val="DefaultParagraphFont"/>
    <w:uiPriority w:val="20"/>
    <w:qFormat/>
    <w:rsid w:val="005019AF"/>
    <w:rPr>
      <w:i/>
      <w:iCs/>
    </w:rPr>
  </w:style>
  <w:style w:type="character" w:customStyle="1" w:styleId="apple-converted-space">
    <w:name w:val="apple-converted-space"/>
    <w:basedOn w:val="DefaultParagraphFont"/>
    <w:rsid w:val="005019AF"/>
  </w:style>
  <w:style w:type="paragraph" w:customStyle="1" w:styleId="m8510891252864220681m-8239235294562659066gmail-msotitle">
    <w:name w:val="m_8510891252864220681m_-8239235294562659066gmail-msotitle"/>
    <w:basedOn w:val="Normal"/>
    <w:rsid w:val="005019AF"/>
    <w:pPr>
      <w:spacing w:before="100" w:beforeAutospacing="1" w:after="100" w:afterAutospacing="1"/>
    </w:pPr>
    <w:rPr>
      <w:rFonts w:ascii="Times New Roman" w:hAnsi="Times New Roman" w:cs="Times New Roman"/>
    </w:rPr>
  </w:style>
  <w:style w:type="character" w:customStyle="1" w:styleId="il">
    <w:name w:val="il"/>
    <w:basedOn w:val="DefaultParagraphFont"/>
    <w:rsid w:val="005019AF"/>
  </w:style>
  <w:style w:type="character" w:styleId="Hyperlink">
    <w:name w:val="Hyperlink"/>
    <w:basedOn w:val="DefaultParagraphFont"/>
    <w:uiPriority w:val="99"/>
    <w:unhideWhenUsed/>
    <w:rsid w:val="005019AF"/>
    <w:rPr>
      <w:color w:val="0000FF"/>
      <w:u w:val="single"/>
    </w:rPr>
  </w:style>
  <w:style w:type="character" w:customStyle="1" w:styleId="m8510891252864220681m-8239235294562659066gmail-apple-converted-space">
    <w:name w:val="m_8510891252864220681m_-8239235294562659066gmail-apple-converted-space"/>
    <w:basedOn w:val="DefaultParagraphFont"/>
    <w:rsid w:val="005019AF"/>
  </w:style>
  <w:style w:type="paragraph" w:customStyle="1" w:styleId="m8510891252864220681m-8239235294562659066gmail-msolistparagraph">
    <w:name w:val="m_8510891252864220681m_-8239235294562659066gmail-msolistparagraph"/>
    <w:basedOn w:val="Normal"/>
    <w:rsid w:val="005019AF"/>
    <w:pPr>
      <w:spacing w:before="100" w:beforeAutospacing="1" w:after="100" w:afterAutospacing="1"/>
    </w:pPr>
    <w:rPr>
      <w:rFonts w:ascii="Times New Roman" w:hAnsi="Times New Roman" w:cs="Times New Roman"/>
    </w:rPr>
  </w:style>
  <w:style w:type="paragraph" w:styleId="ListParagraph">
    <w:name w:val="List Paragraph"/>
    <w:basedOn w:val="Normal"/>
    <w:uiPriority w:val="34"/>
    <w:qFormat/>
    <w:rsid w:val="0097360A"/>
    <w:pPr>
      <w:ind w:left="720"/>
      <w:contextualSpacing/>
    </w:pPr>
  </w:style>
  <w:style w:type="paragraph" w:styleId="Header">
    <w:name w:val="header"/>
    <w:basedOn w:val="Normal"/>
    <w:link w:val="HeaderChar"/>
    <w:uiPriority w:val="99"/>
    <w:unhideWhenUsed/>
    <w:rsid w:val="00C730A3"/>
    <w:pPr>
      <w:tabs>
        <w:tab w:val="center" w:pos="4680"/>
        <w:tab w:val="right" w:pos="9360"/>
      </w:tabs>
    </w:pPr>
  </w:style>
  <w:style w:type="character" w:customStyle="1" w:styleId="HeaderChar">
    <w:name w:val="Header Char"/>
    <w:basedOn w:val="DefaultParagraphFont"/>
    <w:link w:val="Header"/>
    <w:uiPriority w:val="99"/>
    <w:rsid w:val="00C730A3"/>
  </w:style>
  <w:style w:type="paragraph" w:styleId="Footer">
    <w:name w:val="footer"/>
    <w:basedOn w:val="Normal"/>
    <w:link w:val="FooterChar"/>
    <w:uiPriority w:val="99"/>
    <w:unhideWhenUsed/>
    <w:rsid w:val="00C730A3"/>
    <w:pPr>
      <w:tabs>
        <w:tab w:val="center" w:pos="4680"/>
        <w:tab w:val="right" w:pos="9360"/>
      </w:tabs>
    </w:pPr>
  </w:style>
  <w:style w:type="character" w:customStyle="1" w:styleId="FooterChar">
    <w:name w:val="Footer Char"/>
    <w:basedOn w:val="DefaultParagraphFont"/>
    <w:link w:val="Footer"/>
    <w:uiPriority w:val="99"/>
    <w:rsid w:val="00C73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543085">
      <w:bodyDiv w:val="1"/>
      <w:marLeft w:val="0"/>
      <w:marRight w:val="0"/>
      <w:marTop w:val="0"/>
      <w:marBottom w:val="0"/>
      <w:divBdr>
        <w:top w:val="none" w:sz="0" w:space="0" w:color="auto"/>
        <w:left w:val="none" w:sz="0" w:space="0" w:color="auto"/>
        <w:bottom w:val="none" w:sz="0" w:space="0" w:color="auto"/>
        <w:right w:val="none" w:sz="0" w:space="0" w:color="auto"/>
      </w:divBdr>
    </w:div>
    <w:div w:id="518663688">
      <w:bodyDiv w:val="1"/>
      <w:marLeft w:val="0"/>
      <w:marRight w:val="0"/>
      <w:marTop w:val="0"/>
      <w:marBottom w:val="0"/>
      <w:divBdr>
        <w:top w:val="none" w:sz="0" w:space="0" w:color="auto"/>
        <w:left w:val="none" w:sz="0" w:space="0" w:color="auto"/>
        <w:bottom w:val="none" w:sz="0" w:space="0" w:color="auto"/>
        <w:right w:val="none" w:sz="0" w:space="0" w:color="auto"/>
      </w:divBdr>
      <w:divsChild>
        <w:div w:id="1984969668">
          <w:marLeft w:val="0"/>
          <w:marRight w:val="0"/>
          <w:marTop w:val="0"/>
          <w:marBottom w:val="0"/>
          <w:divBdr>
            <w:top w:val="none" w:sz="0" w:space="0" w:color="auto"/>
            <w:left w:val="none" w:sz="0" w:space="0" w:color="auto"/>
            <w:bottom w:val="none" w:sz="0" w:space="0" w:color="auto"/>
            <w:right w:val="none" w:sz="0" w:space="0" w:color="auto"/>
          </w:divBdr>
        </w:div>
      </w:divsChild>
    </w:div>
    <w:div w:id="712115634">
      <w:bodyDiv w:val="1"/>
      <w:marLeft w:val="0"/>
      <w:marRight w:val="0"/>
      <w:marTop w:val="0"/>
      <w:marBottom w:val="0"/>
      <w:divBdr>
        <w:top w:val="none" w:sz="0" w:space="0" w:color="auto"/>
        <w:left w:val="none" w:sz="0" w:space="0" w:color="auto"/>
        <w:bottom w:val="none" w:sz="0" w:space="0" w:color="auto"/>
        <w:right w:val="none" w:sz="0" w:space="0" w:color="auto"/>
      </w:divBdr>
    </w:div>
    <w:div w:id="1563061967">
      <w:bodyDiv w:val="1"/>
      <w:marLeft w:val="0"/>
      <w:marRight w:val="0"/>
      <w:marTop w:val="0"/>
      <w:marBottom w:val="0"/>
      <w:divBdr>
        <w:top w:val="none" w:sz="0" w:space="0" w:color="auto"/>
        <w:left w:val="none" w:sz="0" w:space="0" w:color="auto"/>
        <w:bottom w:val="none" w:sz="0" w:space="0" w:color="auto"/>
        <w:right w:val="none" w:sz="0" w:space="0" w:color="auto"/>
      </w:divBdr>
    </w:div>
    <w:div w:id="1605190554">
      <w:bodyDiv w:val="1"/>
      <w:marLeft w:val="0"/>
      <w:marRight w:val="0"/>
      <w:marTop w:val="0"/>
      <w:marBottom w:val="0"/>
      <w:divBdr>
        <w:top w:val="none" w:sz="0" w:space="0" w:color="auto"/>
        <w:left w:val="none" w:sz="0" w:space="0" w:color="auto"/>
        <w:bottom w:val="none" w:sz="0" w:space="0" w:color="auto"/>
        <w:right w:val="none" w:sz="0" w:space="0" w:color="auto"/>
      </w:divBdr>
    </w:div>
    <w:div w:id="1643195218">
      <w:bodyDiv w:val="1"/>
      <w:marLeft w:val="0"/>
      <w:marRight w:val="0"/>
      <w:marTop w:val="0"/>
      <w:marBottom w:val="0"/>
      <w:divBdr>
        <w:top w:val="none" w:sz="0" w:space="0" w:color="auto"/>
        <w:left w:val="none" w:sz="0" w:space="0" w:color="auto"/>
        <w:bottom w:val="none" w:sz="0" w:space="0" w:color="auto"/>
        <w:right w:val="none" w:sz="0" w:space="0" w:color="auto"/>
      </w:divBdr>
    </w:div>
    <w:div w:id="1905525103">
      <w:bodyDiv w:val="1"/>
      <w:marLeft w:val="0"/>
      <w:marRight w:val="0"/>
      <w:marTop w:val="0"/>
      <w:marBottom w:val="0"/>
      <w:divBdr>
        <w:top w:val="none" w:sz="0" w:space="0" w:color="auto"/>
        <w:left w:val="none" w:sz="0" w:space="0" w:color="auto"/>
        <w:bottom w:val="none" w:sz="0" w:space="0" w:color="auto"/>
        <w:right w:val="none" w:sz="0" w:space="0" w:color="auto"/>
      </w:divBdr>
    </w:div>
    <w:div w:id="2048529549">
      <w:bodyDiv w:val="1"/>
      <w:marLeft w:val="0"/>
      <w:marRight w:val="0"/>
      <w:marTop w:val="0"/>
      <w:marBottom w:val="0"/>
      <w:divBdr>
        <w:top w:val="none" w:sz="0" w:space="0" w:color="auto"/>
        <w:left w:val="none" w:sz="0" w:space="0" w:color="auto"/>
        <w:bottom w:val="none" w:sz="0" w:space="0" w:color="auto"/>
        <w:right w:val="none" w:sz="0" w:space="0" w:color="auto"/>
      </w:divBdr>
    </w:div>
    <w:div w:id="2092045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h%C3%A0nh_ph%E1%BB%91_H%E1%BB%93_Ch%C3%AD_Minh" TargetMode="External"/><Relationship Id="rId3" Type="http://schemas.openxmlformats.org/officeDocument/2006/relationships/settings" Target="settings.xml"/><Relationship Id="rId7" Type="http://schemas.openxmlformats.org/officeDocument/2006/relationships/hyperlink" Target="https://vi.wikipedia.org/wiki/B%C3%A1c_s%C4%A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18</Pages>
  <Words>5711</Words>
  <Characters>32555</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PHONG KHAO THI</cp:lastModifiedBy>
  <cp:revision>13</cp:revision>
  <dcterms:created xsi:type="dcterms:W3CDTF">2017-05-07T09:16:00Z</dcterms:created>
  <dcterms:modified xsi:type="dcterms:W3CDTF">2017-05-10T09:47:00Z</dcterms:modified>
</cp:coreProperties>
</file>